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7DAC8" w14:textId="77777777" w:rsidR="00042292" w:rsidRDefault="00042292" w:rsidP="00C75766">
      <w:pPr>
        <w:pStyle w:val="titel"/>
        <w:tabs>
          <w:tab w:val="clear" w:pos="0"/>
        </w:tabs>
        <w:spacing w:before="120" w:after="120"/>
        <w:ind w:right="2835"/>
        <w:jc w:val="both"/>
        <w:rPr>
          <w:color w:val="auto"/>
          <w:sz w:val="28"/>
          <w:szCs w:val="28"/>
        </w:rPr>
      </w:pPr>
      <w:bookmarkStart w:id="0" w:name="_GoBack"/>
      <w:bookmarkEnd w:id="0"/>
      <w:r>
        <w:rPr>
          <w:color w:val="auto"/>
          <w:sz w:val="28"/>
        </w:rPr>
        <w:t>KSB satisfied with the current financial year</w:t>
      </w:r>
    </w:p>
    <w:p w14:paraId="08F3C0B6" w14:textId="77777777" w:rsidR="00134B37" w:rsidRPr="00C75766" w:rsidRDefault="00134B37" w:rsidP="00C75766">
      <w:pPr>
        <w:pStyle w:val="titel"/>
        <w:tabs>
          <w:tab w:val="clear" w:pos="0"/>
        </w:tabs>
        <w:spacing w:before="120" w:after="120"/>
        <w:ind w:right="2835"/>
        <w:jc w:val="both"/>
        <w:rPr>
          <w:color w:val="auto"/>
          <w:sz w:val="28"/>
          <w:szCs w:val="28"/>
        </w:rPr>
      </w:pPr>
    </w:p>
    <w:p w14:paraId="0A34CAAC" w14:textId="77777777" w:rsidR="00042292" w:rsidRDefault="00042292" w:rsidP="00231E33">
      <w:pPr>
        <w:pStyle w:val="titel"/>
        <w:numPr>
          <w:ilvl w:val="0"/>
          <w:numId w:val="2"/>
        </w:numPr>
        <w:tabs>
          <w:tab w:val="clear" w:pos="0"/>
        </w:tabs>
        <w:spacing w:before="120" w:after="120"/>
        <w:ind w:left="426" w:right="3435" w:hanging="426"/>
        <w:jc w:val="both"/>
        <w:rPr>
          <w:b w:val="0"/>
          <w:color w:val="auto"/>
          <w:sz w:val="28"/>
          <w:szCs w:val="22"/>
        </w:rPr>
      </w:pPr>
      <w:r>
        <w:rPr>
          <w:b w:val="0"/>
          <w:color w:val="auto"/>
          <w:sz w:val="28"/>
        </w:rPr>
        <w:t>Order intake and sales revenue significantly above prior year</w:t>
      </w:r>
    </w:p>
    <w:p w14:paraId="264FD46C" w14:textId="77777777" w:rsidR="00042292" w:rsidRDefault="00E129EF" w:rsidP="00231E33">
      <w:pPr>
        <w:pStyle w:val="titel"/>
        <w:numPr>
          <w:ilvl w:val="0"/>
          <w:numId w:val="2"/>
        </w:numPr>
        <w:tabs>
          <w:tab w:val="clear" w:pos="0"/>
        </w:tabs>
        <w:spacing w:before="120" w:after="120"/>
        <w:ind w:left="426" w:right="3435" w:hanging="426"/>
        <w:jc w:val="both"/>
        <w:rPr>
          <w:b w:val="0"/>
          <w:color w:val="auto"/>
          <w:sz w:val="28"/>
          <w:szCs w:val="22"/>
        </w:rPr>
      </w:pPr>
      <w:r>
        <w:rPr>
          <w:b w:val="0"/>
          <w:color w:val="auto"/>
          <w:sz w:val="28"/>
        </w:rPr>
        <w:t>Project business is driving growth</w:t>
      </w:r>
    </w:p>
    <w:p w14:paraId="5F94FF0D" w14:textId="77777777" w:rsidR="00042292" w:rsidRDefault="00E129EF" w:rsidP="00231E33">
      <w:pPr>
        <w:pStyle w:val="titel"/>
        <w:numPr>
          <w:ilvl w:val="0"/>
          <w:numId w:val="2"/>
        </w:numPr>
        <w:tabs>
          <w:tab w:val="clear" w:pos="0"/>
        </w:tabs>
        <w:spacing w:before="120" w:after="120"/>
        <w:ind w:left="426" w:right="3435" w:hanging="426"/>
        <w:jc w:val="both"/>
        <w:rPr>
          <w:b w:val="0"/>
          <w:color w:val="auto"/>
          <w:sz w:val="28"/>
          <w:szCs w:val="22"/>
        </w:rPr>
      </w:pPr>
      <w:r>
        <w:rPr>
          <w:b w:val="0"/>
          <w:color w:val="auto"/>
          <w:sz w:val="28"/>
        </w:rPr>
        <w:t>Forecast for 2019 confirmed</w:t>
      </w:r>
    </w:p>
    <w:p w14:paraId="72097FC8" w14:textId="77777777" w:rsidR="00042292" w:rsidRPr="00042292" w:rsidRDefault="00042292" w:rsidP="00042292">
      <w:pPr>
        <w:spacing w:line="360" w:lineRule="auto"/>
        <w:ind w:right="-108"/>
        <w:jc w:val="both"/>
        <w:rPr>
          <w:rFonts w:ascii="Arial" w:hAnsi="Arial" w:cs="Arial"/>
          <w:w w:val="100"/>
          <w:szCs w:val="24"/>
        </w:rPr>
      </w:pPr>
    </w:p>
    <w:p w14:paraId="71780CF2" w14:textId="0F0374E3" w:rsidR="008E50C4" w:rsidRDefault="00042292" w:rsidP="00042292">
      <w:pPr>
        <w:spacing w:line="360" w:lineRule="auto"/>
        <w:ind w:right="3435"/>
        <w:jc w:val="both"/>
        <w:rPr>
          <w:rFonts w:ascii="Arial" w:hAnsi="Arial" w:cs="Arial"/>
          <w:w w:val="100"/>
          <w:szCs w:val="24"/>
        </w:rPr>
      </w:pPr>
      <w:r>
        <w:rPr>
          <w:rFonts w:ascii="Arial" w:hAnsi="Arial"/>
          <w:w w:val="100"/>
        </w:rPr>
        <w:t>FRANKENTHAL. The Frankenthal-based pump and valve manu</w:t>
      </w:r>
      <w:r w:rsidR="00E610F9">
        <w:rPr>
          <w:rFonts w:ascii="Arial" w:hAnsi="Arial"/>
          <w:w w:val="100"/>
        </w:rPr>
        <w:softHyphen/>
      </w:r>
      <w:r>
        <w:rPr>
          <w:rFonts w:ascii="Arial" w:hAnsi="Arial"/>
          <w:w w:val="100"/>
        </w:rPr>
        <w:t>facturer KSB is satisfied with the current financial year. Order intake, sales revenue and EBIT developed as planned and are well above the prior-year figures. Cumulative order intake in the first three quarters rose by € 112 million (+ 6.3 %) from € 1,775 million to € 1,887 million, while sales revenue increased by € 132 million (+ 8.1 %) from € 1,635 million to € 1,767 million. All segments and virtually every Region contributed to this growth. EBIT also devel</w:t>
      </w:r>
      <w:r w:rsidR="00E610F9">
        <w:rPr>
          <w:rFonts w:ascii="Arial" w:hAnsi="Arial"/>
          <w:w w:val="100"/>
        </w:rPr>
        <w:softHyphen/>
      </w:r>
      <w:r>
        <w:rPr>
          <w:rFonts w:ascii="Arial" w:hAnsi="Arial"/>
          <w:w w:val="100"/>
        </w:rPr>
        <w:t>oped as planned; currency translation effects had only a minor impact in the reporting period.</w:t>
      </w:r>
    </w:p>
    <w:p w14:paraId="25959255" w14:textId="77777777" w:rsidR="00AF476F" w:rsidRDefault="00AF476F" w:rsidP="00042292">
      <w:pPr>
        <w:spacing w:line="360" w:lineRule="auto"/>
        <w:ind w:right="3435"/>
        <w:jc w:val="both"/>
        <w:rPr>
          <w:rFonts w:ascii="Arial" w:hAnsi="Arial" w:cs="Arial"/>
          <w:w w:val="100"/>
          <w:szCs w:val="24"/>
        </w:rPr>
      </w:pPr>
    </w:p>
    <w:p w14:paraId="761B8870" w14:textId="43A9E2AD" w:rsidR="00042292" w:rsidRPr="00042292" w:rsidRDefault="00AF476F" w:rsidP="00042292">
      <w:pPr>
        <w:spacing w:line="360" w:lineRule="auto"/>
        <w:ind w:right="3435"/>
        <w:jc w:val="both"/>
        <w:rPr>
          <w:rFonts w:ascii="Arial" w:hAnsi="Arial" w:cs="Arial"/>
          <w:w w:val="100"/>
          <w:szCs w:val="24"/>
        </w:rPr>
      </w:pPr>
      <w:r>
        <w:rPr>
          <w:rFonts w:ascii="Arial" w:hAnsi="Arial"/>
          <w:w w:val="100"/>
        </w:rPr>
        <w:t xml:space="preserve">“This positive development is attributable, in particular, to the good project business. In addition, the measures introduced last year to promote sales and the service business are showing initial signs of success. Given the good earnings achieved in the first three quarters and despite the economic slowdown sparked by growing trade tensions and structural changes in some industries, we are confident of achieving the order intake, sales revenue and earnings targets set for the current 2019 financial year”, says CEO Dr Stephan Timmermann. </w:t>
      </w:r>
    </w:p>
    <w:p w14:paraId="194E2E6B" w14:textId="77777777" w:rsidR="00042292" w:rsidRPr="00042292" w:rsidRDefault="00042292" w:rsidP="00042292">
      <w:pPr>
        <w:ind w:right="3435"/>
        <w:rPr>
          <w:rFonts w:ascii="Arial" w:hAnsi="Arial" w:cs="Arial"/>
          <w:w w:val="100"/>
          <w:szCs w:val="24"/>
        </w:rPr>
      </w:pPr>
    </w:p>
    <w:p w14:paraId="255F5D3E" w14:textId="722EB393" w:rsidR="00042292" w:rsidRPr="00042292" w:rsidRDefault="00042292" w:rsidP="00042292">
      <w:pPr>
        <w:spacing w:line="360" w:lineRule="auto"/>
        <w:ind w:right="3435"/>
        <w:rPr>
          <w:rFonts w:ascii="Arial" w:hAnsi="Arial" w:cs="Arial"/>
          <w:b/>
          <w:w w:val="100"/>
          <w:szCs w:val="24"/>
        </w:rPr>
      </w:pPr>
      <w:r>
        <w:rPr>
          <w:rFonts w:ascii="Arial" w:hAnsi="Arial"/>
          <w:b/>
          <w:w w:val="100"/>
        </w:rPr>
        <w:lastRenderedPageBreak/>
        <w:t>Significant growth in all segments</w:t>
      </w:r>
    </w:p>
    <w:p w14:paraId="5688CD24" w14:textId="3B66F475" w:rsidR="00042292" w:rsidRPr="00042292" w:rsidRDefault="00042292" w:rsidP="00042292">
      <w:pPr>
        <w:spacing w:line="360" w:lineRule="auto"/>
        <w:ind w:right="3435"/>
        <w:jc w:val="both"/>
        <w:rPr>
          <w:rFonts w:ascii="Arial" w:hAnsi="Arial" w:cs="Arial"/>
          <w:w w:val="100"/>
          <w:szCs w:val="24"/>
        </w:rPr>
      </w:pPr>
      <w:r>
        <w:rPr>
          <w:rFonts w:ascii="Arial" w:hAnsi="Arial"/>
          <w:w w:val="100"/>
        </w:rPr>
        <w:t>All three segments – Pumps, Valves and Service – were able to increase order intake and sales revenue significantly. At 8.5 %, the Service segment achieved the largest growth in percentage terms. The increase in the Valves segment is 8.1 </w:t>
      </w:r>
      <w:r>
        <w:rPr>
          <w:rFonts w:ascii="Arial" w:hAnsi="Arial"/>
          <w:color w:val="000000" w:themeColor="text1"/>
          <w:w w:val="100"/>
        </w:rPr>
        <w:t>%.</w:t>
      </w:r>
      <w:r>
        <w:rPr>
          <w:rFonts w:ascii="Arial" w:hAnsi="Arial"/>
          <w:w w:val="100"/>
        </w:rPr>
        <w:t xml:space="preserve"> The Pumps segment recorded an increase of </w:t>
      </w:r>
      <w:r>
        <w:rPr>
          <w:rFonts w:ascii="Arial" w:hAnsi="Arial"/>
          <w:color w:val="000000" w:themeColor="text1"/>
          <w:w w:val="100"/>
        </w:rPr>
        <w:t>5.3</w:t>
      </w:r>
      <w:r>
        <w:rPr>
          <w:rFonts w:ascii="Arial" w:hAnsi="Arial"/>
          <w:w w:val="100"/>
        </w:rPr>
        <w:t> %. Sales revenue was up by 9.2 % for Valves, by 8.4 % for Pumps and by 6.4 % in the Service segment compared with the same prior-year period.</w:t>
      </w:r>
    </w:p>
    <w:p w14:paraId="5932D211" w14:textId="77777777" w:rsidR="00042292" w:rsidRPr="00042292" w:rsidRDefault="00042292" w:rsidP="00042292">
      <w:pPr>
        <w:spacing w:line="360" w:lineRule="auto"/>
        <w:ind w:right="3435"/>
        <w:jc w:val="both"/>
        <w:rPr>
          <w:rFonts w:ascii="Arial" w:hAnsi="Arial" w:cs="Arial"/>
          <w:b/>
          <w:w w:val="100"/>
          <w:szCs w:val="24"/>
        </w:rPr>
      </w:pPr>
    </w:p>
    <w:p w14:paraId="0DB1B6E9" w14:textId="77777777" w:rsidR="00042292" w:rsidRPr="00042292" w:rsidRDefault="006E0E67" w:rsidP="00042292">
      <w:pPr>
        <w:spacing w:line="360" w:lineRule="auto"/>
        <w:ind w:right="3435"/>
        <w:jc w:val="both"/>
        <w:rPr>
          <w:rFonts w:ascii="Arial" w:hAnsi="Arial" w:cs="Arial"/>
          <w:b/>
          <w:w w:val="100"/>
          <w:szCs w:val="24"/>
        </w:rPr>
      </w:pPr>
      <w:r>
        <w:rPr>
          <w:rFonts w:ascii="Arial" w:hAnsi="Arial"/>
          <w:b/>
          <w:w w:val="100"/>
        </w:rPr>
        <w:t>Europe, Asia and Americas strong</w:t>
      </w:r>
    </w:p>
    <w:p w14:paraId="75C2CF39" w14:textId="71F8D388" w:rsidR="00042292" w:rsidRPr="0067482B" w:rsidRDefault="00042292" w:rsidP="00042292">
      <w:pPr>
        <w:spacing w:line="360" w:lineRule="auto"/>
        <w:ind w:right="3435"/>
        <w:jc w:val="both"/>
        <w:rPr>
          <w:rFonts w:ascii="Arial" w:hAnsi="Arial" w:cs="Arial"/>
          <w:w w:val="100"/>
          <w:szCs w:val="24"/>
        </w:rPr>
      </w:pPr>
      <w:r>
        <w:rPr>
          <w:rFonts w:ascii="Arial" w:hAnsi="Arial"/>
          <w:w w:val="100"/>
        </w:rPr>
        <w:t xml:space="preserve">Strong growth in order intake was reported in all Regions, driven mainly by orders in the project business. Sales revenue showed a similarly positive picture, with the companies in Asia, North and South America and Europe coming in significantly above prior-year levels. Only the figures of the Region Africa/Middle East were down year on year due to currency-related factors. </w:t>
      </w:r>
    </w:p>
    <w:p w14:paraId="4D94C1F4" w14:textId="77777777" w:rsidR="00075B66" w:rsidRDefault="00075B66" w:rsidP="00075B66">
      <w:pPr>
        <w:spacing w:line="360" w:lineRule="auto"/>
        <w:ind w:right="74"/>
        <w:jc w:val="both"/>
        <w:rPr>
          <w:rFonts w:ascii="Arial" w:hAnsi="Arial" w:cs="Arial"/>
          <w:w w:val="100"/>
          <w:szCs w:val="24"/>
        </w:rPr>
      </w:pPr>
    </w:p>
    <w:p w14:paraId="5EE19E68" w14:textId="77777777" w:rsidR="00075B66" w:rsidRPr="00075B66" w:rsidRDefault="00075B66" w:rsidP="00075B66">
      <w:pPr>
        <w:spacing w:line="360" w:lineRule="auto"/>
        <w:ind w:right="74"/>
        <w:jc w:val="both"/>
        <w:rPr>
          <w:rFonts w:ascii="Arial" w:hAnsi="Arial" w:cs="Arial"/>
          <w:b/>
          <w:w w:val="100"/>
          <w:szCs w:val="24"/>
        </w:rPr>
      </w:pPr>
      <w:r>
        <w:rPr>
          <w:rFonts w:ascii="Arial" w:hAnsi="Arial"/>
          <w:b/>
          <w:w w:val="100"/>
        </w:rPr>
        <w:t>Stable results of operations and financial position</w:t>
      </w:r>
    </w:p>
    <w:p w14:paraId="1086E3C9" w14:textId="0C9197EE" w:rsidR="00075B66" w:rsidRPr="00075B66" w:rsidRDefault="00075B66" w:rsidP="00075B66">
      <w:pPr>
        <w:spacing w:line="360" w:lineRule="auto"/>
        <w:ind w:right="3435"/>
        <w:jc w:val="both"/>
        <w:rPr>
          <w:rFonts w:ascii="Arial" w:hAnsi="Arial" w:cs="Arial"/>
          <w:w w:val="100"/>
          <w:szCs w:val="24"/>
        </w:rPr>
      </w:pPr>
      <w:r>
        <w:rPr>
          <w:rFonts w:ascii="Arial" w:hAnsi="Arial"/>
          <w:w w:val="100"/>
        </w:rPr>
        <w:t>The Group’s EBIT in the first nine months exceeded the prior-year figure significantly. Factoring out the first-time application of the IFRS 16 standard (new accounting treatment of leases), the net financial position is stable.</w:t>
      </w:r>
    </w:p>
    <w:p w14:paraId="21DD4DFE" w14:textId="77777777" w:rsidR="00042292" w:rsidRPr="00042292" w:rsidRDefault="00042292" w:rsidP="00042292">
      <w:pPr>
        <w:spacing w:line="360" w:lineRule="auto"/>
        <w:ind w:right="3435"/>
        <w:jc w:val="both"/>
        <w:rPr>
          <w:rFonts w:ascii="Arial" w:hAnsi="Arial" w:cs="Arial"/>
          <w:w w:val="100"/>
          <w:szCs w:val="24"/>
        </w:rPr>
      </w:pPr>
    </w:p>
    <w:p w14:paraId="4205D70D" w14:textId="77777777" w:rsidR="00042292" w:rsidRPr="00042292" w:rsidRDefault="00042292" w:rsidP="00042292">
      <w:pPr>
        <w:spacing w:line="360" w:lineRule="auto"/>
        <w:ind w:right="3435"/>
        <w:jc w:val="both"/>
        <w:rPr>
          <w:rFonts w:ascii="Arial" w:hAnsi="Arial" w:cs="Arial"/>
          <w:b/>
          <w:w w:val="100"/>
          <w:szCs w:val="24"/>
        </w:rPr>
      </w:pPr>
      <w:r>
        <w:rPr>
          <w:rFonts w:ascii="Arial" w:hAnsi="Arial"/>
          <w:b/>
          <w:w w:val="100"/>
        </w:rPr>
        <w:t>Outlook remains positive</w:t>
      </w:r>
    </w:p>
    <w:p w14:paraId="7517D607" w14:textId="77777777" w:rsidR="00042292" w:rsidRPr="00042292" w:rsidRDefault="00042292" w:rsidP="00042292">
      <w:pPr>
        <w:spacing w:line="360" w:lineRule="auto"/>
        <w:ind w:right="3435"/>
        <w:jc w:val="both"/>
        <w:rPr>
          <w:rFonts w:ascii="Arial" w:hAnsi="Arial" w:cs="Arial"/>
          <w:w w:val="100"/>
          <w:szCs w:val="24"/>
        </w:rPr>
      </w:pPr>
      <w:r>
        <w:rPr>
          <w:rFonts w:ascii="Arial" w:hAnsi="Arial"/>
          <w:w w:val="100"/>
        </w:rPr>
        <w:t>Order intake and sales revenue in the first three quarters significantly exceeded the comparative prior-year figures. The company therefore continues to assume that it will achieve the order intake, sales revenue and EBIT goals set for 2019. </w:t>
      </w:r>
    </w:p>
    <w:p w14:paraId="2E7AAF3F" w14:textId="77777777" w:rsidR="00042292" w:rsidRPr="00042292" w:rsidRDefault="00042292" w:rsidP="00042292">
      <w:pPr>
        <w:spacing w:line="360" w:lineRule="auto"/>
        <w:ind w:right="3435"/>
        <w:jc w:val="both"/>
        <w:rPr>
          <w:rFonts w:ascii="Arial" w:hAnsi="Arial" w:cs="Arial"/>
          <w:w w:val="100"/>
          <w:szCs w:val="24"/>
        </w:rPr>
      </w:pPr>
      <w:r>
        <w:rPr>
          <w:rFonts w:ascii="Arial" w:hAnsi="Arial"/>
          <w:w w:val="100"/>
        </w:rPr>
        <w:t> </w:t>
      </w:r>
    </w:p>
    <w:p w14:paraId="33A1E286" w14:textId="77777777" w:rsidR="004D10D3" w:rsidRDefault="004D10D3" w:rsidP="004B0987">
      <w:pPr>
        <w:spacing w:line="360" w:lineRule="auto"/>
        <w:ind w:right="2552"/>
        <w:jc w:val="both"/>
        <w:rPr>
          <w:rFonts w:ascii="Arial" w:hAnsi="Arial" w:cs="Arial"/>
          <w:i/>
          <w:snapToGrid w:val="0"/>
          <w:w w:val="100"/>
          <w:sz w:val="18"/>
          <w:szCs w:val="18"/>
        </w:rPr>
      </w:pPr>
    </w:p>
    <w:p w14:paraId="647BF1F7" w14:textId="3CF8BB81" w:rsidR="00C81634" w:rsidRDefault="00C81634" w:rsidP="004B0987">
      <w:pPr>
        <w:spacing w:line="360" w:lineRule="auto"/>
        <w:ind w:right="2552"/>
        <w:jc w:val="both"/>
        <w:rPr>
          <w:rFonts w:ascii="Arial" w:hAnsi="Arial" w:cs="Arial"/>
          <w:i/>
          <w:snapToGrid w:val="0"/>
          <w:color w:val="000000"/>
          <w:w w:val="100"/>
          <w:sz w:val="18"/>
          <w:szCs w:val="18"/>
        </w:rPr>
      </w:pPr>
      <w:r>
        <w:rPr>
          <w:rFonts w:ascii="Arial" w:hAnsi="Arial"/>
          <w:i/>
          <w:snapToGrid w:val="0"/>
          <w:w w:val="100"/>
          <w:sz w:val="18"/>
        </w:rPr>
        <w:t xml:space="preserve">KSB is a leading international manufacturer of pumps and valves. </w:t>
      </w:r>
      <w:r>
        <w:rPr>
          <w:rFonts w:ascii="Arial" w:hAnsi="Arial"/>
          <w:i/>
          <w:snapToGrid w:val="0"/>
          <w:color w:val="000000"/>
          <w:w w:val="100"/>
          <w:sz w:val="18"/>
        </w:rPr>
        <w:t xml:space="preserve">The Frankenthal-based Group has a presence on five continents with its own sales and marketing organisations, manufacturing facilities and service operations. The workforce of around 15,700 generates annual sales revenue of more than € 2.2 billion. </w:t>
      </w:r>
    </w:p>
    <w:p w14:paraId="01FE6EEB" w14:textId="77777777" w:rsidR="00856D47" w:rsidRDefault="00856D47" w:rsidP="004B0987">
      <w:pPr>
        <w:spacing w:line="360" w:lineRule="auto"/>
        <w:ind w:right="2552"/>
        <w:jc w:val="both"/>
        <w:rPr>
          <w:rFonts w:ascii="Arial" w:hAnsi="Arial" w:cs="Arial"/>
          <w:i/>
          <w:snapToGrid w:val="0"/>
          <w:color w:val="000000"/>
          <w:w w:val="100"/>
          <w:sz w:val="18"/>
          <w:szCs w:val="18"/>
        </w:rPr>
      </w:pPr>
    </w:p>
    <w:p w14:paraId="18F1ED36" w14:textId="77777777" w:rsidR="00856D47" w:rsidRPr="00E52AE9" w:rsidRDefault="00856D47" w:rsidP="004B0987">
      <w:pPr>
        <w:spacing w:line="360" w:lineRule="auto"/>
        <w:ind w:right="2552"/>
        <w:jc w:val="both"/>
        <w:rPr>
          <w:rFonts w:ascii="Arial" w:hAnsi="Arial" w:cs="Arial"/>
          <w:i/>
          <w:snapToGrid w:val="0"/>
          <w:color w:val="000000"/>
          <w:w w:val="100"/>
          <w:sz w:val="18"/>
          <w:szCs w:val="18"/>
        </w:rPr>
      </w:pPr>
    </w:p>
    <w:p w14:paraId="1426012C" w14:textId="77777777" w:rsidR="00945760" w:rsidRDefault="00945760" w:rsidP="00945760">
      <w:pPr>
        <w:pStyle w:val="flietext"/>
        <w:tabs>
          <w:tab w:val="clear" w:pos="0"/>
        </w:tabs>
        <w:spacing w:line="360" w:lineRule="auto"/>
        <w:ind w:right="2834"/>
        <w:jc w:val="both"/>
        <w:rPr>
          <w:color w:val="auto"/>
        </w:rPr>
      </w:pPr>
    </w:p>
    <w:p w14:paraId="1107A338" w14:textId="77777777" w:rsidR="000B3387" w:rsidRDefault="000B3387" w:rsidP="000B3387">
      <w:pPr>
        <w:pStyle w:val="flietext"/>
        <w:tabs>
          <w:tab w:val="clear" w:pos="0"/>
        </w:tabs>
        <w:spacing w:line="360" w:lineRule="auto"/>
        <w:ind w:right="2834"/>
        <w:jc w:val="both"/>
        <w:rPr>
          <w:color w:val="auto"/>
          <w:sz w:val="24"/>
          <w:szCs w:val="24"/>
        </w:rPr>
      </w:pPr>
    </w:p>
    <w:sectPr w:rsidR="000B3387" w:rsidSect="000C3A77">
      <w:headerReference w:type="default" r:id="rId8"/>
      <w:footerReference w:type="default" r:id="rId9"/>
      <w:pgSz w:w="11906" w:h="16838"/>
      <w:pgMar w:top="2948" w:right="249" w:bottom="1701" w:left="1276" w:header="567"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09EB2" w14:textId="77777777" w:rsidR="00F55A91" w:rsidRDefault="00F55A91">
      <w:r>
        <w:separator/>
      </w:r>
    </w:p>
  </w:endnote>
  <w:endnote w:type="continuationSeparator" w:id="0">
    <w:p w14:paraId="11D9029C" w14:textId="77777777" w:rsidR="00F55A91" w:rsidRDefault="00F5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1ECC5" w14:textId="77777777" w:rsidR="00C53317" w:rsidRDefault="00C53317" w:rsidP="000C3A77">
    <w:pPr>
      <w:pStyle w:val="Fuzeile"/>
      <w:tabs>
        <w:tab w:val="left" w:pos="2694"/>
      </w:tabs>
      <w:ind w:left="1276"/>
    </w:pPr>
  </w:p>
  <w:p w14:paraId="0CD52A8B" w14:textId="77777777" w:rsidR="00C53317" w:rsidRPr="008B398C" w:rsidRDefault="00897FA2" w:rsidP="000C3A77">
    <w:pPr>
      <w:pStyle w:val="Fuzeile"/>
      <w:tabs>
        <w:tab w:val="clear" w:pos="4536"/>
        <w:tab w:val="left" w:pos="2410"/>
        <w:tab w:val="left" w:pos="2694"/>
        <w:tab w:val="center" w:pos="4395"/>
        <w:tab w:val="right" w:pos="5529"/>
      </w:tabs>
      <w:rPr>
        <w:rFonts w:ascii="Arial" w:hAnsi="Arial"/>
        <w:b/>
        <w:color w:val="00579D"/>
        <w:w w:val="100"/>
        <w:sz w:val="16"/>
      </w:rPr>
    </w:pPr>
    <w:r>
      <w:rPr>
        <w:rFonts w:ascii="Arial" w:hAnsi="Arial"/>
        <w:b/>
        <w:noProof/>
        <w:color w:val="00579D"/>
        <w:w w:val="100"/>
        <w:sz w:val="16"/>
        <w:lang w:val="de-DE" w:eastAsia="de-DE" w:bidi="ar-SA"/>
      </w:rPr>
      <mc:AlternateContent>
        <mc:Choice Requires="wps">
          <w:drawing>
            <wp:anchor distT="0" distB="0" distL="114300" distR="114300" simplePos="0" relativeHeight="251657728" behindDoc="0" locked="0" layoutInCell="1" allowOverlap="1" wp14:anchorId="1EBEAB79" wp14:editId="13C50239">
              <wp:simplePos x="0" y="0"/>
              <wp:positionH relativeFrom="column">
                <wp:posOffset>-1905</wp:posOffset>
              </wp:positionH>
              <wp:positionV relativeFrom="paragraph">
                <wp:posOffset>-65405</wp:posOffset>
              </wp:positionV>
              <wp:extent cx="4914900" cy="5080"/>
              <wp:effectExtent l="7620" t="10795" r="1143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508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o="urn:schemas-microsoft-com:office:office" xmlns:w14="http://schemas.microsoft.com/office/word/2010/wordml" xmlns:v="urn:schemas-microsoft-com:vml" w14:anchorId="639982A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15pt" to="386.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" strokecolor="silver" strokeweight="1pt"/>
          </w:pict>
        </mc:Fallback>
      </mc:AlternateContent>
    </w:r>
    <w:r>
      <w:rPr>
        <w:rFonts w:ascii="Arial" w:hAnsi="Arial"/>
        <w:b/>
        <w:color w:val="00579D"/>
        <w:w w:val="100"/>
        <w:sz w:val="16"/>
      </w:rPr>
      <w:t xml:space="preserve">Published by </w:t>
    </w:r>
    <w:r>
      <w:tab/>
    </w:r>
    <w:r>
      <w:rPr>
        <w:rFonts w:ascii="Arial" w:hAnsi="Arial"/>
        <w:b/>
        <w:color w:val="00579D"/>
        <w:w w:val="100"/>
        <w:sz w:val="16"/>
      </w:rPr>
      <w:t>Contact</w:t>
    </w:r>
  </w:p>
  <w:p w14:paraId="68CDDC54" w14:textId="77777777" w:rsidR="00C53317" w:rsidRPr="00811CEE" w:rsidRDefault="00C53317" w:rsidP="000C3A77">
    <w:pPr>
      <w:pStyle w:val="Fuzeile"/>
      <w:tabs>
        <w:tab w:val="clear" w:pos="4536"/>
        <w:tab w:val="left" w:pos="2410"/>
        <w:tab w:val="left" w:pos="2694"/>
        <w:tab w:val="center" w:pos="4395"/>
        <w:tab w:val="right" w:pos="5529"/>
      </w:tabs>
      <w:rPr>
        <w:rFonts w:ascii="Arial" w:hAnsi="Arial"/>
        <w:color w:val="808080"/>
        <w:w w:val="100"/>
        <w:sz w:val="16"/>
      </w:rPr>
    </w:pPr>
    <w:r>
      <w:rPr>
        <w:rFonts w:ascii="Arial" w:hAnsi="Arial"/>
        <w:color w:val="808080"/>
        <w:w w:val="100"/>
        <w:sz w:val="16"/>
      </w:rPr>
      <w:t>KSB SE &amp; Co. KGaA</w:t>
    </w:r>
    <w:r>
      <w:tab/>
    </w:r>
    <w:r>
      <w:rPr>
        <w:rFonts w:ascii="Arial" w:hAnsi="Arial"/>
        <w:color w:val="808080"/>
        <w:w w:val="100"/>
        <w:sz w:val="16"/>
      </w:rPr>
      <w:t>Wilfried Sauer</w:t>
    </w:r>
  </w:p>
  <w:p w14:paraId="3C8A6772" w14:textId="77777777" w:rsidR="00C53317" w:rsidRPr="00811CEE" w:rsidRDefault="00C53317" w:rsidP="000C3A77">
    <w:pPr>
      <w:pStyle w:val="Fuzeile"/>
      <w:tabs>
        <w:tab w:val="clear" w:pos="4536"/>
        <w:tab w:val="left" w:pos="2410"/>
        <w:tab w:val="left" w:pos="2694"/>
        <w:tab w:val="center" w:pos="4395"/>
        <w:tab w:val="right" w:pos="5529"/>
      </w:tabs>
      <w:rPr>
        <w:rFonts w:ascii="Arial" w:hAnsi="Arial"/>
        <w:color w:val="808080"/>
        <w:w w:val="100"/>
        <w:sz w:val="16"/>
      </w:rPr>
    </w:pPr>
    <w:r>
      <w:rPr>
        <w:rFonts w:ascii="Arial" w:hAnsi="Arial"/>
        <w:color w:val="808080"/>
        <w:w w:val="100"/>
        <w:sz w:val="16"/>
      </w:rPr>
      <w:t xml:space="preserve">Corporate Communications  </w:t>
    </w:r>
    <w:r>
      <w:tab/>
    </w:r>
    <w:r>
      <w:rPr>
        <w:rFonts w:ascii="Arial" w:hAnsi="Arial"/>
        <w:color w:val="808080"/>
        <w:w w:val="100"/>
        <w:sz w:val="16"/>
      </w:rPr>
      <w:t>Tel + 49 6233 86-1140</w:t>
    </w:r>
  </w:p>
  <w:p w14:paraId="24AF4D98" w14:textId="77777777" w:rsidR="00C53317" w:rsidRPr="00811CEE" w:rsidRDefault="00C53317" w:rsidP="000C3A77">
    <w:pPr>
      <w:pStyle w:val="Fuzeile"/>
      <w:tabs>
        <w:tab w:val="clear" w:pos="4536"/>
        <w:tab w:val="left" w:pos="2410"/>
        <w:tab w:val="left" w:pos="2694"/>
        <w:tab w:val="center" w:pos="4395"/>
        <w:tab w:val="right" w:pos="5529"/>
      </w:tabs>
      <w:rPr>
        <w:rFonts w:ascii="Arial" w:hAnsi="Arial"/>
        <w:color w:val="808080"/>
        <w:w w:val="100"/>
        <w:sz w:val="16"/>
      </w:rPr>
    </w:pPr>
    <w:r>
      <w:rPr>
        <w:rFonts w:ascii="Arial" w:hAnsi="Arial"/>
        <w:color w:val="808080"/>
        <w:w w:val="100"/>
        <w:sz w:val="16"/>
      </w:rPr>
      <w:t>67227 Frankenthal</w:t>
    </w:r>
    <w:r>
      <w:tab/>
    </w:r>
    <w:r>
      <w:rPr>
        <w:rFonts w:ascii="Arial" w:hAnsi="Arial"/>
        <w:color w:val="808080"/>
        <w:w w:val="100"/>
        <w:sz w:val="16"/>
      </w:rPr>
      <w:t>wilfried.sauer@ksb.com</w:t>
    </w:r>
  </w:p>
  <w:p w14:paraId="74407723" w14:textId="77777777" w:rsidR="00C53317" w:rsidRPr="009F253A" w:rsidRDefault="00C53317" w:rsidP="000C3A77">
    <w:pPr>
      <w:pStyle w:val="Fuzeile"/>
      <w:tabs>
        <w:tab w:val="clear" w:pos="4536"/>
        <w:tab w:val="left" w:pos="2694"/>
        <w:tab w:val="center" w:pos="4395"/>
        <w:tab w:val="right" w:pos="5529"/>
      </w:tabs>
      <w:rPr>
        <w:rFonts w:ascii="Arial" w:hAnsi="Arial"/>
        <w:color w:val="808080"/>
        <w:w w:val="1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794A9" w14:textId="77777777" w:rsidR="00F55A91" w:rsidRDefault="00F55A91">
      <w:r>
        <w:separator/>
      </w:r>
    </w:p>
  </w:footnote>
  <w:footnote w:type="continuationSeparator" w:id="0">
    <w:p w14:paraId="052812D9" w14:textId="77777777" w:rsidR="00F55A91" w:rsidRDefault="00F55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A5248" w14:textId="77777777" w:rsidR="00C53317" w:rsidRDefault="00C53317" w:rsidP="000C3A77">
    <w:pPr>
      <w:pStyle w:val="Kopfzeile"/>
      <w:tabs>
        <w:tab w:val="clear" w:pos="4536"/>
        <w:tab w:val="clear" w:pos="9072"/>
        <w:tab w:val="right" w:pos="9639"/>
        <w:tab w:val="right" w:pos="10915"/>
      </w:tabs>
      <w:ind w:right="991"/>
    </w:pPr>
    <w:r>
      <w:tab/>
    </w:r>
    <w:r>
      <w:rPr>
        <w:noProof/>
        <w:lang w:val="de-DE" w:eastAsia="de-DE" w:bidi="ar-SA"/>
      </w:rPr>
      <w:drawing>
        <wp:inline distT="0" distB="0" distL="0" distR="0" wp14:anchorId="413EF767" wp14:editId="27A613FE">
          <wp:extent cx="1057275" cy="462280"/>
          <wp:effectExtent l="1905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057275" cy="462280"/>
                  </a:xfrm>
                  <a:prstGeom prst="rect">
                    <a:avLst/>
                  </a:prstGeom>
                  <a:noFill/>
                  <a:ln w="9525">
                    <a:noFill/>
                    <a:miter lim="800000"/>
                    <a:headEnd/>
                    <a:tailEnd/>
                  </a:ln>
                </pic:spPr>
              </pic:pic>
            </a:graphicData>
          </a:graphic>
        </wp:inline>
      </w:drawing>
    </w:r>
  </w:p>
  <w:p w14:paraId="2493987B" w14:textId="77777777" w:rsidR="00C53317" w:rsidRPr="008B398C" w:rsidRDefault="00C53317" w:rsidP="000C3A77">
    <w:pPr>
      <w:pStyle w:val="Kopfzeile"/>
      <w:tabs>
        <w:tab w:val="clear" w:pos="4536"/>
        <w:tab w:val="clear" w:pos="9072"/>
        <w:tab w:val="right" w:pos="9214"/>
        <w:tab w:val="right" w:pos="10915"/>
      </w:tabs>
      <w:rPr>
        <w:rFonts w:ascii="Arial" w:hAnsi="Arial"/>
        <w:b/>
        <w:color w:val="00579D"/>
        <w:w w:val="100"/>
        <w:sz w:val="40"/>
      </w:rPr>
    </w:pPr>
    <w:r>
      <w:rPr>
        <w:rFonts w:ascii="Arial" w:hAnsi="Arial"/>
        <w:b/>
        <w:color w:val="00579D"/>
        <w:w w:val="100"/>
        <w:sz w:val="40"/>
      </w:rPr>
      <w:t>Press Release</w:t>
    </w:r>
  </w:p>
  <w:p w14:paraId="4D4D7821" w14:textId="77777777" w:rsidR="00C53317" w:rsidRPr="00286437" w:rsidRDefault="00897FA2" w:rsidP="000C3A77">
    <w:pPr>
      <w:pStyle w:val="datum"/>
      <w:tabs>
        <w:tab w:val="clear" w:pos="1701"/>
        <w:tab w:val="right" w:pos="9214"/>
      </w:tabs>
      <w:ind w:left="0"/>
    </w:pPr>
    <w:r>
      <w:rPr>
        <w:noProof/>
        <w:lang w:val="de-DE" w:eastAsia="de-DE" w:bidi="ar-SA"/>
      </w:rPr>
      <mc:AlternateContent>
        <mc:Choice Requires="wps">
          <w:drawing>
            <wp:anchor distT="0" distB="0" distL="114300" distR="114300" simplePos="0" relativeHeight="251656704" behindDoc="0" locked="0" layoutInCell="1" allowOverlap="1" wp14:anchorId="2959CE7E" wp14:editId="75537BBB">
              <wp:simplePos x="0" y="0"/>
              <wp:positionH relativeFrom="column">
                <wp:posOffset>5715</wp:posOffset>
              </wp:positionH>
              <wp:positionV relativeFrom="paragraph">
                <wp:posOffset>73025</wp:posOffset>
              </wp:positionV>
              <wp:extent cx="5029200" cy="0"/>
              <wp:effectExtent l="15240" t="6350" r="13335" b="127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o="urn:schemas-microsoft-com:office:office" xmlns:w14="http://schemas.microsoft.com/office/word/2010/wordml" xmlns:v="urn:schemas-microsoft-com:vml" w14:anchorId="21A5A3CF"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75pt" to="396.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" strokecolor="silver" strokeweight="1pt"/>
          </w:pict>
        </mc:Fallback>
      </mc:AlternateContent>
    </w:r>
  </w:p>
  <w:p w14:paraId="300674D6" w14:textId="6F88DE9E" w:rsidR="00C53317" w:rsidRPr="00286437" w:rsidRDefault="00C53317" w:rsidP="007C18EB">
    <w:pPr>
      <w:pStyle w:val="datum"/>
      <w:tabs>
        <w:tab w:val="clear" w:pos="1701"/>
        <w:tab w:val="right" w:pos="7938"/>
      </w:tabs>
      <w:ind w:left="0"/>
    </w:pPr>
    <w:r>
      <w:rPr>
        <w:b/>
        <w:color w:val="808080"/>
      </w:rPr>
      <w:t>KSB Group</w:t>
    </w:r>
    <w:r>
      <w:t xml:space="preserve"> </w:t>
    </w:r>
    <w:r>
      <w:tab/>
      <w:t xml:space="preserve">13 November 2019 / Page </w:t>
    </w:r>
    <w:r w:rsidRPr="00286437">
      <w:fldChar w:fldCharType="begin"/>
    </w:r>
    <w:r w:rsidRPr="00286437">
      <w:instrText xml:space="preserve"> </w:instrText>
    </w:r>
    <w:r>
      <w:instrText>PAGE</w:instrText>
    </w:r>
    <w:r w:rsidRPr="00286437">
      <w:instrText xml:space="preserve">  \* MERGEFORMAT </w:instrText>
    </w:r>
    <w:r w:rsidRPr="00286437">
      <w:fldChar w:fldCharType="separate"/>
    </w:r>
    <w:r w:rsidR="0081380D">
      <w:rPr>
        <w:noProof/>
      </w:rPr>
      <w:t>1</w:t>
    </w:r>
    <w:r w:rsidRPr="00286437">
      <w:fldChar w:fldCharType="end"/>
    </w:r>
    <w:r>
      <w:t>/</w:t>
    </w:r>
    <w:r w:rsidR="0039643C">
      <w:rPr>
        <w:noProof/>
      </w:rPr>
      <w:fldChar w:fldCharType="begin"/>
    </w:r>
    <w:r w:rsidR="0039643C">
      <w:rPr>
        <w:noProof/>
      </w:rPr>
      <w:instrText xml:space="preserve"> NUMPAGES  \* MERGEFORMAT </w:instrText>
    </w:r>
    <w:r w:rsidR="0039643C">
      <w:rPr>
        <w:noProof/>
      </w:rPr>
      <w:fldChar w:fldCharType="separate"/>
    </w:r>
    <w:r w:rsidR="0081380D">
      <w:rPr>
        <w:noProof/>
      </w:rPr>
      <w:t>3</w:t>
    </w:r>
    <w:r w:rsidR="0039643C">
      <w:rPr>
        <w:noProof/>
      </w:rPr>
      <w:fldChar w:fldCharType="end"/>
    </w:r>
  </w:p>
  <w:p w14:paraId="02BD1056" w14:textId="77777777" w:rsidR="00C53317" w:rsidRPr="008F653D" w:rsidRDefault="00C53317" w:rsidP="000C3A77">
    <w:pPr>
      <w:pStyle w:val="Kopfzeile"/>
      <w:tabs>
        <w:tab w:val="clear" w:pos="4536"/>
        <w:tab w:val="clear" w:pos="9072"/>
        <w:tab w:val="right" w:pos="9214"/>
        <w:tab w:val="right" w:pos="1091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83B1C"/>
    <w:multiLevelType w:val="hybridMultilevel"/>
    <w:tmpl w:val="B47CA6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C125BD"/>
    <w:multiLevelType w:val="hybridMultilevel"/>
    <w:tmpl w:val="0D8E4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EEC"/>
    <w:rsid w:val="000028DF"/>
    <w:rsid w:val="00005EDD"/>
    <w:rsid w:val="00015D5C"/>
    <w:rsid w:val="000206E0"/>
    <w:rsid w:val="000215BD"/>
    <w:rsid w:val="00022605"/>
    <w:rsid w:val="000301CD"/>
    <w:rsid w:val="00031F56"/>
    <w:rsid w:val="00042292"/>
    <w:rsid w:val="0004629B"/>
    <w:rsid w:val="000471F4"/>
    <w:rsid w:val="00054081"/>
    <w:rsid w:val="00055735"/>
    <w:rsid w:val="00062DB2"/>
    <w:rsid w:val="00070E92"/>
    <w:rsid w:val="0007180F"/>
    <w:rsid w:val="00073A5D"/>
    <w:rsid w:val="00075B66"/>
    <w:rsid w:val="0009128E"/>
    <w:rsid w:val="000938EC"/>
    <w:rsid w:val="00096B4E"/>
    <w:rsid w:val="000A6A2D"/>
    <w:rsid w:val="000A7C01"/>
    <w:rsid w:val="000B13E9"/>
    <w:rsid w:val="000B3387"/>
    <w:rsid w:val="000B50DB"/>
    <w:rsid w:val="000C12C3"/>
    <w:rsid w:val="000C3A77"/>
    <w:rsid w:val="000C6E09"/>
    <w:rsid w:val="000C71B0"/>
    <w:rsid w:val="000D48CC"/>
    <w:rsid w:val="000D6E6A"/>
    <w:rsid w:val="000D7558"/>
    <w:rsid w:val="000E6A2B"/>
    <w:rsid w:val="000F2B29"/>
    <w:rsid w:val="001051FF"/>
    <w:rsid w:val="00111E5F"/>
    <w:rsid w:val="00117FD3"/>
    <w:rsid w:val="00123E1E"/>
    <w:rsid w:val="00127C85"/>
    <w:rsid w:val="00134B37"/>
    <w:rsid w:val="001455B2"/>
    <w:rsid w:val="001579E1"/>
    <w:rsid w:val="001638D7"/>
    <w:rsid w:val="001A66E1"/>
    <w:rsid w:val="001A681F"/>
    <w:rsid w:val="001B1F45"/>
    <w:rsid w:val="001B2A07"/>
    <w:rsid w:val="001C6FD6"/>
    <w:rsid w:val="001D16F8"/>
    <w:rsid w:val="001D3316"/>
    <w:rsid w:val="001F0F09"/>
    <w:rsid w:val="001F30D4"/>
    <w:rsid w:val="002119AD"/>
    <w:rsid w:val="00211C89"/>
    <w:rsid w:val="00213DC6"/>
    <w:rsid w:val="00231E0E"/>
    <w:rsid w:val="00231E33"/>
    <w:rsid w:val="0025530A"/>
    <w:rsid w:val="00281F9B"/>
    <w:rsid w:val="002973BA"/>
    <w:rsid w:val="002B103A"/>
    <w:rsid w:val="002C154A"/>
    <w:rsid w:val="002C7AA8"/>
    <w:rsid w:val="002D1663"/>
    <w:rsid w:val="002E4850"/>
    <w:rsid w:val="002E5B11"/>
    <w:rsid w:val="002F2EFB"/>
    <w:rsid w:val="00304B34"/>
    <w:rsid w:val="0030626A"/>
    <w:rsid w:val="0032410D"/>
    <w:rsid w:val="00352AB7"/>
    <w:rsid w:val="003672CD"/>
    <w:rsid w:val="00386004"/>
    <w:rsid w:val="00387B50"/>
    <w:rsid w:val="0039643C"/>
    <w:rsid w:val="003A2607"/>
    <w:rsid w:val="003B287E"/>
    <w:rsid w:val="003D1A62"/>
    <w:rsid w:val="003D1A70"/>
    <w:rsid w:val="003D38F6"/>
    <w:rsid w:val="003E6607"/>
    <w:rsid w:val="003E6E65"/>
    <w:rsid w:val="003F3F68"/>
    <w:rsid w:val="003F4BA9"/>
    <w:rsid w:val="00403BAB"/>
    <w:rsid w:val="0040684E"/>
    <w:rsid w:val="00422C65"/>
    <w:rsid w:val="00426761"/>
    <w:rsid w:val="004270D2"/>
    <w:rsid w:val="0043794B"/>
    <w:rsid w:val="00445C76"/>
    <w:rsid w:val="00452678"/>
    <w:rsid w:val="00456043"/>
    <w:rsid w:val="00456FFA"/>
    <w:rsid w:val="00460C61"/>
    <w:rsid w:val="004731E9"/>
    <w:rsid w:val="00473E9A"/>
    <w:rsid w:val="00475C6A"/>
    <w:rsid w:val="00482B7F"/>
    <w:rsid w:val="00482D51"/>
    <w:rsid w:val="00483065"/>
    <w:rsid w:val="0049466E"/>
    <w:rsid w:val="004A0584"/>
    <w:rsid w:val="004A18BA"/>
    <w:rsid w:val="004B0987"/>
    <w:rsid w:val="004B2983"/>
    <w:rsid w:val="004C6000"/>
    <w:rsid w:val="004D0011"/>
    <w:rsid w:val="004D10D3"/>
    <w:rsid w:val="004E0235"/>
    <w:rsid w:val="004E0254"/>
    <w:rsid w:val="004E4EBA"/>
    <w:rsid w:val="00522B27"/>
    <w:rsid w:val="00530F5B"/>
    <w:rsid w:val="00534A13"/>
    <w:rsid w:val="0055012A"/>
    <w:rsid w:val="0055331A"/>
    <w:rsid w:val="005551F0"/>
    <w:rsid w:val="00555910"/>
    <w:rsid w:val="00563156"/>
    <w:rsid w:val="00570E58"/>
    <w:rsid w:val="00583FF0"/>
    <w:rsid w:val="0058700E"/>
    <w:rsid w:val="00587DF6"/>
    <w:rsid w:val="005943DE"/>
    <w:rsid w:val="00597A42"/>
    <w:rsid w:val="005B26B4"/>
    <w:rsid w:val="005D0AA0"/>
    <w:rsid w:val="005F31D4"/>
    <w:rsid w:val="006100B7"/>
    <w:rsid w:val="00610C94"/>
    <w:rsid w:val="006143D8"/>
    <w:rsid w:val="0062193A"/>
    <w:rsid w:val="00623909"/>
    <w:rsid w:val="006242F0"/>
    <w:rsid w:val="00626CC7"/>
    <w:rsid w:val="0063143D"/>
    <w:rsid w:val="00643F7D"/>
    <w:rsid w:val="006544D4"/>
    <w:rsid w:val="00663D3A"/>
    <w:rsid w:val="0066788C"/>
    <w:rsid w:val="0067482B"/>
    <w:rsid w:val="00686A02"/>
    <w:rsid w:val="006A17EC"/>
    <w:rsid w:val="006A7C69"/>
    <w:rsid w:val="006A7F5B"/>
    <w:rsid w:val="006B33C3"/>
    <w:rsid w:val="006C1C13"/>
    <w:rsid w:val="006C4382"/>
    <w:rsid w:val="006C4AFE"/>
    <w:rsid w:val="006C4C16"/>
    <w:rsid w:val="006C59D7"/>
    <w:rsid w:val="006E0E67"/>
    <w:rsid w:val="006E5A62"/>
    <w:rsid w:val="006F6A1D"/>
    <w:rsid w:val="007033EB"/>
    <w:rsid w:val="00703C1F"/>
    <w:rsid w:val="00707C7F"/>
    <w:rsid w:val="00720112"/>
    <w:rsid w:val="00724E0B"/>
    <w:rsid w:val="00741413"/>
    <w:rsid w:val="0075340F"/>
    <w:rsid w:val="00754B88"/>
    <w:rsid w:val="00755159"/>
    <w:rsid w:val="00767CB3"/>
    <w:rsid w:val="00771D11"/>
    <w:rsid w:val="0078592B"/>
    <w:rsid w:val="00794417"/>
    <w:rsid w:val="007B5F2C"/>
    <w:rsid w:val="007B61CE"/>
    <w:rsid w:val="007C18EB"/>
    <w:rsid w:val="007D238C"/>
    <w:rsid w:val="007E5835"/>
    <w:rsid w:val="007E63E1"/>
    <w:rsid w:val="00805C67"/>
    <w:rsid w:val="008112B4"/>
    <w:rsid w:val="0081380D"/>
    <w:rsid w:val="00814132"/>
    <w:rsid w:val="008147FE"/>
    <w:rsid w:val="00817137"/>
    <w:rsid w:val="00822908"/>
    <w:rsid w:val="008267B7"/>
    <w:rsid w:val="00833D86"/>
    <w:rsid w:val="00856D47"/>
    <w:rsid w:val="008674BB"/>
    <w:rsid w:val="00870D5C"/>
    <w:rsid w:val="008738B9"/>
    <w:rsid w:val="00874AA4"/>
    <w:rsid w:val="0088073F"/>
    <w:rsid w:val="00897FA2"/>
    <w:rsid w:val="008A56AE"/>
    <w:rsid w:val="008B398C"/>
    <w:rsid w:val="008D026C"/>
    <w:rsid w:val="008D12CC"/>
    <w:rsid w:val="008D6AB4"/>
    <w:rsid w:val="008E2D0E"/>
    <w:rsid w:val="008E381A"/>
    <w:rsid w:val="008E50C4"/>
    <w:rsid w:val="00900993"/>
    <w:rsid w:val="00911A71"/>
    <w:rsid w:val="00913512"/>
    <w:rsid w:val="009175D3"/>
    <w:rsid w:val="00920E20"/>
    <w:rsid w:val="00943AE3"/>
    <w:rsid w:val="00943B2E"/>
    <w:rsid w:val="00945760"/>
    <w:rsid w:val="00977C39"/>
    <w:rsid w:val="00983357"/>
    <w:rsid w:val="009A7A90"/>
    <w:rsid w:val="009B0CC3"/>
    <w:rsid w:val="009B39A9"/>
    <w:rsid w:val="009C6BE9"/>
    <w:rsid w:val="009E3B07"/>
    <w:rsid w:val="009F02FF"/>
    <w:rsid w:val="00A12374"/>
    <w:rsid w:val="00A3345E"/>
    <w:rsid w:val="00A3634D"/>
    <w:rsid w:val="00A55F5B"/>
    <w:rsid w:val="00A66C47"/>
    <w:rsid w:val="00AA3FA0"/>
    <w:rsid w:val="00AB5483"/>
    <w:rsid w:val="00AB5CC8"/>
    <w:rsid w:val="00AD4012"/>
    <w:rsid w:val="00AD41D6"/>
    <w:rsid w:val="00AD7A76"/>
    <w:rsid w:val="00AE34D5"/>
    <w:rsid w:val="00AE41E1"/>
    <w:rsid w:val="00AE5AAB"/>
    <w:rsid w:val="00AF476F"/>
    <w:rsid w:val="00AF6082"/>
    <w:rsid w:val="00B04DE2"/>
    <w:rsid w:val="00B057BA"/>
    <w:rsid w:val="00B22D04"/>
    <w:rsid w:val="00B431E9"/>
    <w:rsid w:val="00B447ED"/>
    <w:rsid w:val="00B606B8"/>
    <w:rsid w:val="00B62D18"/>
    <w:rsid w:val="00B71B8F"/>
    <w:rsid w:val="00B7544D"/>
    <w:rsid w:val="00B80CC2"/>
    <w:rsid w:val="00B82055"/>
    <w:rsid w:val="00B87729"/>
    <w:rsid w:val="00B92714"/>
    <w:rsid w:val="00B9786D"/>
    <w:rsid w:val="00BA21A3"/>
    <w:rsid w:val="00BC24CF"/>
    <w:rsid w:val="00BD42C7"/>
    <w:rsid w:val="00BD72F9"/>
    <w:rsid w:val="00BD7510"/>
    <w:rsid w:val="00BE068F"/>
    <w:rsid w:val="00BF059A"/>
    <w:rsid w:val="00BF486D"/>
    <w:rsid w:val="00BF78A6"/>
    <w:rsid w:val="00C05F55"/>
    <w:rsid w:val="00C5218F"/>
    <w:rsid w:val="00C53317"/>
    <w:rsid w:val="00C53E6D"/>
    <w:rsid w:val="00C75766"/>
    <w:rsid w:val="00C81634"/>
    <w:rsid w:val="00C81722"/>
    <w:rsid w:val="00C84FEC"/>
    <w:rsid w:val="00CA6249"/>
    <w:rsid w:val="00CB705E"/>
    <w:rsid w:val="00CC7267"/>
    <w:rsid w:val="00CE7DA7"/>
    <w:rsid w:val="00CF248A"/>
    <w:rsid w:val="00D14C5B"/>
    <w:rsid w:val="00D212AB"/>
    <w:rsid w:val="00D2660A"/>
    <w:rsid w:val="00D304A6"/>
    <w:rsid w:val="00D475FA"/>
    <w:rsid w:val="00D55F33"/>
    <w:rsid w:val="00D56A18"/>
    <w:rsid w:val="00D5790D"/>
    <w:rsid w:val="00D72D99"/>
    <w:rsid w:val="00D824D8"/>
    <w:rsid w:val="00D9034B"/>
    <w:rsid w:val="00D9313B"/>
    <w:rsid w:val="00DA14E5"/>
    <w:rsid w:val="00DA484C"/>
    <w:rsid w:val="00DB1A85"/>
    <w:rsid w:val="00DB370E"/>
    <w:rsid w:val="00DB62B6"/>
    <w:rsid w:val="00DC7173"/>
    <w:rsid w:val="00DD606B"/>
    <w:rsid w:val="00DE4387"/>
    <w:rsid w:val="00DF4DCF"/>
    <w:rsid w:val="00DF539F"/>
    <w:rsid w:val="00E1134F"/>
    <w:rsid w:val="00E129EF"/>
    <w:rsid w:val="00E13B90"/>
    <w:rsid w:val="00E41032"/>
    <w:rsid w:val="00E41E17"/>
    <w:rsid w:val="00E610F9"/>
    <w:rsid w:val="00E614CA"/>
    <w:rsid w:val="00E70261"/>
    <w:rsid w:val="00E74681"/>
    <w:rsid w:val="00E878A0"/>
    <w:rsid w:val="00E929E8"/>
    <w:rsid w:val="00E972D6"/>
    <w:rsid w:val="00EA6EC1"/>
    <w:rsid w:val="00EB28F7"/>
    <w:rsid w:val="00EC1DAB"/>
    <w:rsid w:val="00ED71D9"/>
    <w:rsid w:val="00EF5622"/>
    <w:rsid w:val="00EF690F"/>
    <w:rsid w:val="00F012FF"/>
    <w:rsid w:val="00F03B18"/>
    <w:rsid w:val="00F27B59"/>
    <w:rsid w:val="00F3568E"/>
    <w:rsid w:val="00F40858"/>
    <w:rsid w:val="00F41DE3"/>
    <w:rsid w:val="00F42EEC"/>
    <w:rsid w:val="00F43380"/>
    <w:rsid w:val="00F47DF6"/>
    <w:rsid w:val="00F539E8"/>
    <w:rsid w:val="00F53E96"/>
    <w:rsid w:val="00F55A91"/>
    <w:rsid w:val="00F67C22"/>
    <w:rsid w:val="00F705C0"/>
    <w:rsid w:val="00F73C4A"/>
    <w:rsid w:val="00F762F2"/>
    <w:rsid w:val="00F8716B"/>
    <w:rsid w:val="00F90739"/>
    <w:rsid w:val="00F96A98"/>
    <w:rsid w:val="00FA29C5"/>
    <w:rsid w:val="00FA45D3"/>
    <w:rsid w:val="00FA53F8"/>
    <w:rsid w:val="00FA7BEE"/>
    <w:rsid w:val="00FB0A92"/>
    <w:rsid w:val="00FC0D4A"/>
    <w:rsid w:val="00FC4FDC"/>
    <w:rsid w:val="00FC7EA8"/>
    <w:rsid w:val="00FD3373"/>
    <w:rsid w:val="00FE3A96"/>
    <w:rsid w:val="00FE52BE"/>
    <w:rsid w:val="00FE6ADC"/>
    <w:rsid w:val="00FF2CA1"/>
    <w:rsid w:val="00FF506C"/>
    <w:rsid w:val="00FF5D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05B86E9"/>
  <w15:docId w15:val="{7AC79CDB-735F-4320-93C7-02069E38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53E6D"/>
    <w:rPr>
      <w:w w:val="50"/>
      <w:sz w:val="24"/>
    </w:rPr>
  </w:style>
  <w:style w:type="paragraph" w:styleId="berschrift3">
    <w:name w:val="heading 3"/>
    <w:basedOn w:val="Standard"/>
    <w:next w:val="Standard"/>
    <w:link w:val="berschrift3Zchn"/>
    <w:uiPriority w:val="9"/>
    <w:semiHidden/>
    <w:unhideWhenUsed/>
    <w:qFormat/>
    <w:rsid w:val="00042292"/>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8">
    <w:name w:val="heading 8"/>
    <w:basedOn w:val="Standard"/>
    <w:next w:val="Standard"/>
    <w:link w:val="berschrift8Zchn"/>
    <w:uiPriority w:val="9"/>
    <w:semiHidden/>
    <w:unhideWhenUsed/>
    <w:qFormat/>
    <w:rsid w:val="000C12C3"/>
    <w:pPr>
      <w:keepNext/>
      <w:keepLines/>
      <w:spacing w:before="200" w:line="276" w:lineRule="auto"/>
      <w:outlineLvl w:val="7"/>
    </w:pPr>
    <w:rPr>
      <w:rFonts w:asciiTheme="majorHAnsi" w:eastAsiaTheme="majorEastAsia" w:hAnsiTheme="majorHAnsi" w:cstheme="majorBidi"/>
      <w:color w:val="404040" w:themeColor="text1" w:themeTint="BF"/>
      <w:w w:val="1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42EEC"/>
    <w:pPr>
      <w:tabs>
        <w:tab w:val="center" w:pos="4536"/>
        <w:tab w:val="right" w:pos="9072"/>
      </w:tabs>
    </w:pPr>
  </w:style>
  <w:style w:type="paragraph" w:styleId="Fuzeile">
    <w:name w:val="footer"/>
    <w:basedOn w:val="Standard"/>
    <w:semiHidden/>
    <w:rsid w:val="00F42EEC"/>
    <w:pPr>
      <w:tabs>
        <w:tab w:val="center" w:pos="4536"/>
        <w:tab w:val="right" w:pos="9072"/>
      </w:tabs>
    </w:pPr>
  </w:style>
  <w:style w:type="paragraph" w:customStyle="1" w:styleId="datum">
    <w:name w:val="datum"/>
    <w:basedOn w:val="Standard"/>
    <w:rsid w:val="00F42EEC"/>
    <w:pPr>
      <w:tabs>
        <w:tab w:val="left" w:pos="1701"/>
      </w:tabs>
      <w:ind w:left="1701"/>
    </w:pPr>
    <w:rPr>
      <w:rFonts w:ascii="Arial" w:hAnsi="Arial"/>
      <w:w w:val="100"/>
      <w:sz w:val="18"/>
    </w:rPr>
  </w:style>
  <w:style w:type="paragraph" w:customStyle="1" w:styleId="EinfacherAbsatz">
    <w:name w:val="[Einfacher Absatz]"/>
    <w:basedOn w:val="Standard"/>
    <w:rsid w:val="00F42EEC"/>
    <w:pPr>
      <w:widowControl w:val="0"/>
      <w:autoSpaceDE w:val="0"/>
      <w:autoSpaceDN w:val="0"/>
      <w:adjustRightInd w:val="0"/>
      <w:spacing w:line="288" w:lineRule="auto"/>
      <w:textAlignment w:val="center"/>
    </w:pPr>
    <w:rPr>
      <w:rFonts w:ascii="Times-Roman" w:hAnsi="Times-Roman"/>
      <w:color w:val="000000"/>
      <w:w w:val="100"/>
      <w:szCs w:val="24"/>
    </w:rPr>
  </w:style>
  <w:style w:type="paragraph" w:customStyle="1" w:styleId="titel">
    <w:name w:val="titel"/>
    <w:basedOn w:val="Standard"/>
    <w:rsid w:val="00F42EEC"/>
    <w:pPr>
      <w:widowControl w:val="0"/>
      <w:tabs>
        <w:tab w:val="left" w:pos="0"/>
      </w:tabs>
      <w:autoSpaceDE w:val="0"/>
      <w:autoSpaceDN w:val="0"/>
      <w:adjustRightInd w:val="0"/>
      <w:spacing w:line="288" w:lineRule="auto"/>
      <w:ind w:right="423"/>
      <w:textAlignment w:val="center"/>
    </w:pPr>
    <w:rPr>
      <w:rFonts w:ascii="Arial" w:hAnsi="Arial" w:cs="Arial"/>
      <w:b/>
      <w:color w:val="000000"/>
      <w:w w:val="100"/>
      <w:sz w:val="32"/>
      <w:szCs w:val="32"/>
    </w:rPr>
  </w:style>
  <w:style w:type="paragraph" w:customStyle="1" w:styleId="flietext">
    <w:name w:val="fließtext"/>
    <w:basedOn w:val="Standard"/>
    <w:rsid w:val="00F42EEC"/>
    <w:pPr>
      <w:widowControl w:val="0"/>
      <w:tabs>
        <w:tab w:val="left" w:pos="0"/>
      </w:tabs>
      <w:autoSpaceDE w:val="0"/>
      <w:autoSpaceDN w:val="0"/>
      <w:adjustRightInd w:val="0"/>
      <w:spacing w:line="330" w:lineRule="atLeast"/>
      <w:ind w:right="707"/>
      <w:textAlignment w:val="center"/>
    </w:pPr>
    <w:rPr>
      <w:rFonts w:ascii="Arial" w:hAnsi="Arial" w:cs="Arial"/>
      <w:color w:val="000000"/>
      <w:w w:val="100"/>
      <w:sz w:val="22"/>
      <w:szCs w:val="22"/>
    </w:rPr>
  </w:style>
  <w:style w:type="paragraph" w:styleId="Sprechblasentext">
    <w:name w:val="Balloon Text"/>
    <w:basedOn w:val="Standard"/>
    <w:link w:val="SprechblasentextZchn"/>
    <w:uiPriority w:val="99"/>
    <w:semiHidden/>
    <w:unhideWhenUsed/>
    <w:rsid w:val="00D21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12AB"/>
    <w:rPr>
      <w:rFonts w:ascii="Tahoma" w:hAnsi="Tahoma" w:cs="Tahoma"/>
      <w:w w:val="50"/>
      <w:sz w:val="16"/>
      <w:szCs w:val="16"/>
      <w:lang w:val="en-GB" w:eastAsia="en-GB"/>
    </w:rPr>
  </w:style>
  <w:style w:type="character" w:styleId="Hyperlink">
    <w:name w:val="Hyperlink"/>
    <w:basedOn w:val="Absatz-Standardschriftart"/>
    <w:uiPriority w:val="99"/>
    <w:unhideWhenUsed/>
    <w:rsid w:val="00856D47"/>
    <w:rPr>
      <w:color w:val="4E81B3"/>
      <w:u w:val="single"/>
    </w:rPr>
  </w:style>
  <w:style w:type="character" w:customStyle="1" w:styleId="berschrift8Zchn">
    <w:name w:val="Überschrift 8 Zchn"/>
    <w:basedOn w:val="Absatz-Standardschriftart"/>
    <w:link w:val="berschrift8"/>
    <w:uiPriority w:val="9"/>
    <w:semiHidden/>
    <w:rsid w:val="000C12C3"/>
    <w:rPr>
      <w:rFonts w:asciiTheme="majorHAnsi" w:eastAsiaTheme="majorEastAsia" w:hAnsiTheme="majorHAnsi" w:cstheme="majorBidi"/>
      <w:color w:val="404040" w:themeColor="text1" w:themeTint="BF"/>
    </w:rPr>
  </w:style>
  <w:style w:type="character" w:customStyle="1" w:styleId="berschrift3Zchn">
    <w:name w:val="Überschrift 3 Zchn"/>
    <w:basedOn w:val="Absatz-Standardschriftart"/>
    <w:link w:val="berschrift3"/>
    <w:uiPriority w:val="9"/>
    <w:semiHidden/>
    <w:rsid w:val="00042292"/>
    <w:rPr>
      <w:rFonts w:asciiTheme="majorHAnsi" w:eastAsiaTheme="majorEastAsia" w:hAnsiTheme="majorHAnsi" w:cstheme="majorBidi"/>
      <w:color w:val="243F60" w:themeColor="accent1" w:themeShade="7F"/>
      <w:w w:val="50"/>
      <w:sz w:val="24"/>
      <w:szCs w:val="24"/>
      <w:lang w:val="en-GB" w:eastAsia="en-GB"/>
    </w:rPr>
  </w:style>
  <w:style w:type="character" w:styleId="Kommentarzeichen">
    <w:name w:val="annotation reference"/>
    <w:basedOn w:val="Absatz-Standardschriftart"/>
    <w:uiPriority w:val="99"/>
    <w:semiHidden/>
    <w:unhideWhenUsed/>
    <w:rsid w:val="00EF5622"/>
    <w:rPr>
      <w:sz w:val="16"/>
      <w:szCs w:val="16"/>
    </w:rPr>
  </w:style>
  <w:style w:type="paragraph" w:styleId="Kommentartext">
    <w:name w:val="annotation text"/>
    <w:basedOn w:val="Standard"/>
    <w:link w:val="KommentartextZchn"/>
    <w:uiPriority w:val="99"/>
    <w:semiHidden/>
    <w:unhideWhenUsed/>
    <w:rsid w:val="00EF5622"/>
    <w:rPr>
      <w:sz w:val="20"/>
    </w:rPr>
  </w:style>
  <w:style w:type="character" w:customStyle="1" w:styleId="KommentartextZchn">
    <w:name w:val="Kommentartext Zchn"/>
    <w:basedOn w:val="Absatz-Standardschriftart"/>
    <w:link w:val="Kommentartext"/>
    <w:uiPriority w:val="99"/>
    <w:semiHidden/>
    <w:rsid w:val="00EF5622"/>
    <w:rPr>
      <w:w w:val="50"/>
      <w:lang w:val="en-GB" w:eastAsia="en-GB"/>
    </w:rPr>
  </w:style>
  <w:style w:type="paragraph" w:styleId="Kommentarthema">
    <w:name w:val="annotation subject"/>
    <w:basedOn w:val="Kommentartext"/>
    <w:next w:val="Kommentartext"/>
    <w:link w:val="KommentarthemaZchn"/>
    <w:uiPriority w:val="99"/>
    <w:semiHidden/>
    <w:unhideWhenUsed/>
    <w:rsid w:val="00EF5622"/>
    <w:rPr>
      <w:b/>
      <w:bCs/>
    </w:rPr>
  </w:style>
  <w:style w:type="character" w:customStyle="1" w:styleId="KommentarthemaZchn">
    <w:name w:val="Kommentarthema Zchn"/>
    <w:basedOn w:val="KommentartextZchn"/>
    <w:link w:val="Kommentarthema"/>
    <w:uiPriority w:val="99"/>
    <w:semiHidden/>
    <w:rsid w:val="00EF5622"/>
    <w:rPr>
      <w:b/>
      <w:bCs/>
      <w:w w:val="50"/>
      <w:lang w:val="en-GB" w:eastAsia="en-GB"/>
    </w:rPr>
  </w:style>
  <w:style w:type="paragraph" w:styleId="berarbeitung">
    <w:name w:val="Revision"/>
    <w:hidden/>
    <w:uiPriority w:val="99"/>
    <w:semiHidden/>
    <w:rsid w:val="00FF506C"/>
    <w:rPr>
      <w:w w:val="50"/>
      <w:sz w:val="24"/>
    </w:rPr>
  </w:style>
  <w:style w:type="paragraph" w:styleId="Listenabsatz">
    <w:name w:val="List Paragraph"/>
    <w:basedOn w:val="Standard"/>
    <w:uiPriority w:val="34"/>
    <w:qFormat/>
    <w:rsid w:val="00880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828684">
      <w:bodyDiv w:val="1"/>
      <w:marLeft w:val="0"/>
      <w:marRight w:val="0"/>
      <w:marTop w:val="0"/>
      <w:marBottom w:val="0"/>
      <w:divBdr>
        <w:top w:val="none" w:sz="0" w:space="0" w:color="auto"/>
        <w:left w:val="none" w:sz="0" w:space="0" w:color="auto"/>
        <w:bottom w:val="none" w:sz="0" w:space="0" w:color="auto"/>
        <w:right w:val="none" w:sz="0" w:space="0" w:color="auto"/>
      </w:divBdr>
    </w:div>
    <w:div w:id="83383878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61F4A-7CDA-44C6-86F1-7EAD1D77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2606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Hier steht eine Überschrift</vt:lpstr>
    </vt:vector>
  </TitlesOfParts>
  <Company>KSB Group</Company>
  <LinksUpToDate>false</LinksUpToDate>
  <CharactersWithSpaces>3081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steht eine Überschrift</dc:title>
  <dc:subject/>
  <dc:creator>Christophe Delaunay</dc:creator>
  <cp:keywords/>
  <cp:lastModifiedBy>Steffel, Lena</cp:lastModifiedBy>
  <cp:revision>2</cp:revision>
  <cp:lastPrinted>2019-04-16T09:46:00Z</cp:lastPrinted>
  <dcterms:created xsi:type="dcterms:W3CDTF">2021-03-11T11:58:00Z</dcterms:created>
  <dcterms:modified xsi:type="dcterms:W3CDTF">2021-03-11T11:58:00Z</dcterms:modified>
</cp:coreProperties>
</file>