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E666B" w:rsidRPr="001B71D2" w:rsidRDefault="004E666B" w:rsidP="004E666B">
      <w:pPr>
        <w:rPr>
          <w:rFonts w:ascii="Arial" w:hAnsi="Arial" w:cs="Arial"/>
          <w:sz w:val="32"/>
          <w:szCs w:val="32"/>
        </w:rPr>
      </w:pPr>
      <w:bookmarkStart w:id="0" w:name="_GoBack"/>
      <w:bookmarkEnd w:id="0"/>
      <w:r>
        <w:rPr>
          <w:rFonts w:ascii="Arial" w:hAnsi="Arial"/>
          <w:sz w:val="32"/>
          <w:szCs w:val="32"/>
        </w:rPr>
        <w:t>Interim report for the period ended 30 Sept. 2017</w:t>
      </w:r>
    </w:p>
    <w:p w:rsidR="004E666B" w:rsidRPr="001B71D2" w:rsidRDefault="004E666B" w:rsidP="004E666B">
      <w:pPr>
        <w:rPr>
          <w:rFonts w:ascii="Arial" w:hAnsi="Arial" w:cs="Arial"/>
          <w:sz w:val="32"/>
          <w:szCs w:val="32"/>
        </w:rPr>
      </w:pPr>
    </w:p>
    <w:p w:rsidR="004E666B" w:rsidRPr="001B71D2" w:rsidRDefault="004E666B" w:rsidP="004E666B">
      <w:pPr>
        <w:rPr>
          <w:rFonts w:ascii="Arial" w:hAnsi="Arial" w:cs="Arial"/>
          <w:b/>
          <w:sz w:val="32"/>
          <w:szCs w:val="32"/>
        </w:rPr>
      </w:pPr>
      <w:bookmarkStart w:id="1" w:name="OLE_LINK2"/>
      <w:bookmarkStart w:id="2" w:name="OLE_LINK1"/>
    </w:p>
    <w:p w:rsidR="0095151B" w:rsidRPr="001B71D2" w:rsidRDefault="00770F8F" w:rsidP="004E666B">
      <w:pPr>
        <w:rPr>
          <w:rFonts w:ascii="Arial" w:hAnsi="Arial" w:cs="Arial"/>
          <w:b/>
          <w:sz w:val="32"/>
          <w:szCs w:val="32"/>
        </w:rPr>
      </w:pPr>
      <w:r>
        <w:rPr>
          <w:rFonts w:ascii="Arial" w:hAnsi="Arial"/>
          <w:b/>
          <w:sz w:val="32"/>
          <w:szCs w:val="32"/>
        </w:rPr>
        <w:t>KSB Group confirms growth trend</w:t>
      </w:r>
    </w:p>
    <w:p w:rsidR="0095151B" w:rsidRPr="001B71D2" w:rsidRDefault="0095151B" w:rsidP="004E666B">
      <w:pPr>
        <w:rPr>
          <w:rFonts w:ascii="Arial" w:hAnsi="Arial" w:cs="Arial"/>
          <w:b/>
          <w:sz w:val="32"/>
          <w:szCs w:val="32"/>
        </w:rPr>
      </w:pPr>
    </w:p>
    <w:p w:rsidR="000C194C" w:rsidRPr="001B71D2" w:rsidRDefault="009F594E" w:rsidP="004E666B">
      <w:pPr>
        <w:spacing w:line="360" w:lineRule="auto"/>
        <w:ind w:right="-108"/>
        <w:jc w:val="both"/>
        <w:rPr>
          <w:rFonts w:ascii="Arial" w:hAnsi="Arial" w:cs="Arial"/>
        </w:rPr>
      </w:pPr>
      <w:r>
        <w:rPr>
          <w:rFonts w:ascii="Arial" w:hAnsi="Arial"/>
        </w:rPr>
        <w:t>In the first nine months of 2017, demand in KSB’s strategically prioritised industry and water / waste water markets was largely fuelled by new investments and replacement needs. By contrast, virtually no orders for new projects were received in the mining sector; however mine operators again increasingly invested in technical equipment for existing plants. The energy generation market declined overall, although some stimulus for demand came from the larger Asian countries.</w:t>
      </w:r>
    </w:p>
    <w:p w:rsidR="000C194C" w:rsidRPr="001B71D2" w:rsidRDefault="000C194C" w:rsidP="004E666B">
      <w:pPr>
        <w:spacing w:line="360" w:lineRule="auto"/>
        <w:ind w:right="-108"/>
        <w:jc w:val="both"/>
        <w:rPr>
          <w:rFonts w:ascii="Arial" w:hAnsi="Arial" w:cs="Arial"/>
        </w:rPr>
      </w:pPr>
    </w:p>
    <w:tbl>
      <w:tblPr>
        <w:tblW w:w="9014" w:type="dxa"/>
        <w:tblInd w:w="71"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1" w:type="dxa"/>
          <w:right w:w="71" w:type="dxa"/>
        </w:tblCellMar>
        <w:tblLook w:val="04A0" w:firstRow="1" w:lastRow="0" w:firstColumn="1" w:lastColumn="0" w:noHBand="0" w:noVBand="1"/>
      </w:tblPr>
      <w:tblGrid>
        <w:gridCol w:w="2324"/>
        <w:gridCol w:w="851"/>
        <w:gridCol w:w="1644"/>
        <w:gridCol w:w="1644"/>
        <w:gridCol w:w="2551"/>
      </w:tblGrid>
      <w:tr w:rsidR="001B71D2" w:rsidRPr="001B71D2" w:rsidTr="00FD09E3">
        <w:tc>
          <w:tcPr>
            <w:tcW w:w="2324" w:type="dxa"/>
            <w:tcBorders>
              <w:top w:val="single" w:sz="12" w:space="0" w:color="auto"/>
              <w:left w:val="single" w:sz="12" w:space="0" w:color="auto"/>
              <w:bottom w:val="single" w:sz="6" w:space="0" w:color="auto"/>
              <w:right w:val="single" w:sz="6" w:space="0" w:color="auto"/>
            </w:tcBorders>
            <w:hideMark/>
          </w:tcPr>
          <w:bookmarkEnd w:id="1"/>
          <w:bookmarkEnd w:id="2"/>
          <w:p w:rsidR="004E666B" w:rsidRPr="00FD09E3" w:rsidRDefault="004E666B">
            <w:pPr>
              <w:pStyle w:val="berschrift3"/>
              <w:rPr>
                <w:sz w:val="24"/>
              </w:rPr>
            </w:pPr>
            <w:r w:rsidRPr="00FD09E3">
              <w:rPr>
                <w:sz w:val="24"/>
              </w:rPr>
              <w:t>KSB Group</w:t>
            </w:r>
          </w:p>
        </w:tc>
        <w:tc>
          <w:tcPr>
            <w:tcW w:w="851" w:type="dxa"/>
            <w:tcBorders>
              <w:top w:val="single" w:sz="12" w:space="0" w:color="auto"/>
              <w:left w:val="single" w:sz="6" w:space="0" w:color="auto"/>
              <w:bottom w:val="single" w:sz="6" w:space="0" w:color="auto"/>
              <w:right w:val="single" w:sz="6" w:space="0" w:color="auto"/>
            </w:tcBorders>
          </w:tcPr>
          <w:p w:rsidR="004E666B" w:rsidRPr="00FD09E3" w:rsidRDefault="004E666B">
            <w:pPr>
              <w:tabs>
                <w:tab w:val="left" w:pos="1134"/>
              </w:tabs>
              <w:spacing w:line="360" w:lineRule="atLeast"/>
              <w:rPr>
                <w:rFonts w:ascii="Arial" w:hAnsi="Arial" w:cs="Arial"/>
                <w:b/>
                <w:lang w:val="en-US" w:eastAsia="en-US"/>
              </w:rPr>
            </w:pPr>
          </w:p>
        </w:tc>
        <w:tc>
          <w:tcPr>
            <w:tcW w:w="1644" w:type="dxa"/>
            <w:tcBorders>
              <w:top w:val="single" w:sz="12" w:space="0" w:color="auto"/>
              <w:left w:val="single" w:sz="6" w:space="0" w:color="auto"/>
              <w:bottom w:val="single" w:sz="6" w:space="0" w:color="auto"/>
              <w:right w:val="single" w:sz="6" w:space="0" w:color="auto"/>
            </w:tcBorders>
            <w:hideMark/>
          </w:tcPr>
          <w:p w:rsidR="004E666B" w:rsidRPr="00FD09E3" w:rsidRDefault="004E666B">
            <w:pPr>
              <w:tabs>
                <w:tab w:val="left" w:pos="1134"/>
              </w:tabs>
              <w:spacing w:line="360" w:lineRule="atLeast"/>
              <w:rPr>
                <w:rFonts w:ascii="Arial" w:hAnsi="Arial" w:cs="Arial"/>
              </w:rPr>
            </w:pPr>
            <w:r w:rsidRPr="00FD09E3">
              <w:rPr>
                <w:rFonts w:ascii="Arial" w:hAnsi="Arial"/>
                <w:lang w:val="en-US" w:eastAsia="en-US"/>
              </w:rPr>
              <w:t xml:space="preserve">  01-09/2017</w:t>
            </w:r>
          </w:p>
        </w:tc>
        <w:tc>
          <w:tcPr>
            <w:tcW w:w="1644" w:type="dxa"/>
            <w:tcBorders>
              <w:top w:val="single" w:sz="12" w:space="0" w:color="auto"/>
              <w:left w:val="single" w:sz="6" w:space="0" w:color="auto"/>
              <w:bottom w:val="single" w:sz="6" w:space="0" w:color="auto"/>
              <w:right w:val="single" w:sz="6" w:space="0" w:color="auto"/>
            </w:tcBorders>
            <w:hideMark/>
          </w:tcPr>
          <w:p w:rsidR="004E666B" w:rsidRPr="00FD09E3" w:rsidRDefault="004E666B">
            <w:pPr>
              <w:tabs>
                <w:tab w:val="left" w:pos="992"/>
              </w:tabs>
              <w:spacing w:line="360" w:lineRule="atLeast"/>
              <w:rPr>
                <w:rFonts w:ascii="Arial" w:hAnsi="Arial" w:cs="Arial"/>
              </w:rPr>
            </w:pPr>
            <w:r w:rsidRPr="00FD09E3">
              <w:rPr>
                <w:rFonts w:ascii="Arial" w:hAnsi="Arial"/>
                <w:lang w:val="en-US" w:eastAsia="en-US"/>
              </w:rPr>
              <w:t xml:space="preserve">  01-09/2016</w:t>
            </w:r>
          </w:p>
        </w:tc>
        <w:tc>
          <w:tcPr>
            <w:tcW w:w="2551" w:type="dxa"/>
            <w:tcBorders>
              <w:top w:val="single" w:sz="12" w:space="0" w:color="auto"/>
              <w:left w:val="single" w:sz="6" w:space="0" w:color="auto"/>
              <w:bottom w:val="single" w:sz="6" w:space="0" w:color="auto"/>
              <w:right w:val="single" w:sz="12" w:space="0" w:color="auto"/>
            </w:tcBorders>
            <w:hideMark/>
          </w:tcPr>
          <w:p w:rsidR="004E666B" w:rsidRPr="00FD09E3" w:rsidRDefault="004E666B" w:rsidP="00FD09E3">
            <w:pPr>
              <w:pStyle w:val="Kopfzeile"/>
              <w:tabs>
                <w:tab w:val="left" w:pos="1400"/>
              </w:tabs>
              <w:spacing w:line="360" w:lineRule="atLeast"/>
              <w:ind w:right="851"/>
              <w:rPr>
                <w:rFonts w:cs="Arial"/>
                <w:spacing w:val="-12"/>
                <w:sz w:val="24"/>
              </w:rPr>
            </w:pPr>
            <w:r w:rsidRPr="00FD09E3">
              <w:rPr>
                <w:sz w:val="24"/>
              </w:rPr>
              <w:t xml:space="preserve">     </w:t>
            </w:r>
            <w:r w:rsidR="00FD09E3">
              <w:rPr>
                <w:sz w:val="24"/>
              </w:rPr>
              <w:t xml:space="preserve">     </w:t>
            </w:r>
            <w:r w:rsidRPr="00FD09E3">
              <w:rPr>
                <w:sz w:val="24"/>
              </w:rPr>
              <w:t>Change</w:t>
            </w:r>
          </w:p>
        </w:tc>
      </w:tr>
      <w:tr w:rsidR="001B71D2" w:rsidRPr="001B71D2" w:rsidTr="00FD09E3">
        <w:tc>
          <w:tcPr>
            <w:tcW w:w="2324" w:type="dxa"/>
            <w:tcBorders>
              <w:top w:val="single" w:sz="6" w:space="0" w:color="auto"/>
              <w:left w:val="single" w:sz="12" w:space="0" w:color="auto"/>
              <w:bottom w:val="single" w:sz="6" w:space="0" w:color="auto"/>
              <w:right w:val="single" w:sz="6" w:space="0" w:color="auto"/>
            </w:tcBorders>
            <w:hideMark/>
          </w:tcPr>
          <w:p w:rsidR="004E666B" w:rsidRPr="00FD09E3" w:rsidRDefault="004E666B">
            <w:pPr>
              <w:tabs>
                <w:tab w:val="left" w:pos="1134"/>
              </w:tabs>
              <w:spacing w:line="360" w:lineRule="atLeast"/>
              <w:rPr>
                <w:rFonts w:ascii="Arial" w:hAnsi="Arial" w:cs="Arial"/>
              </w:rPr>
            </w:pPr>
            <w:r w:rsidRPr="00FD09E3">
              <w:rPr>
                <w:rFonts w:ascii="Arial" w:hAnsi="Arial"/>
              </w:rPr>
              <w:t>Order intake</w:t>
            </w:r>
          </w:p>
        </w:tc>
        <w:tc>
          <w:tcPr>
            <w:tcW w:w="851" w:type="dxa"/>
            <w:tcBorders>
              <w:top w:val="single" w:sz="6" w:space="0" w:color="auto"/>
              <w:left w:val="single" w:sz="6" w:space="0" w:color="auto"/>
              <w:bottom w:val="single" w:sz="6" w:space="0" w:color="auto"/>
              <w:right w:val="single" w:sz="6" w:space="0" w:color="auto"/>
            </w:tcBorders>
            <w:hideMark/>
          </w:tcPr>
          <w:p w:rsidR="004E666B" w:rsidRPr="00FD09E3" w:rsidRDefault="004E666B">
            <w:pPr>
              <w:tabs>
                <w:tab w:val="left" w:pos="1134"/>
              </w:tabs>
              <w:spacing w:line="360" w:lineRule="atLeast"/>
              <w:rPr>
                <w:rFonts w:ascii="Arial" w:hAnsi="Arial" w:cs="Arial"/>
              </w:rPr>
            </w:pPr>
            <w:r w:rsidRPr="00FD09E3">
              <w:rPr>
                <w:rFonts w:ascii="Arial" w:hAnsi="Arial"/>
              </w:rPr>
              <w:t>€ m</w:t>
            </w:r>
          </w:p>
        </w:tc>
        <w:tc>
          <w:tcPr>
            <w:tcW w:w="1644" w:type="dxa"/>
            <w:tcBorders>
              <w:top w:val="single" w:sz="6" w:space="0" w:color="auto"/>
              <w:left w:val="single" w:sz="6" w:space="0" w:color="auto"/>
              <w:bottom w:val="single" w:sz="6" w:space="0" w:color="auto"/>
              <w:right w:val="single" w:sz="6" w:space="0" w:color="auto"/>
            </w:tcBorders>
            <w:hideMark/>
          </w:tcPr>
          <w:p w:rsidR="004E666B" w:rsidRPr="00FD09E3" w:rsidRDefault="007668B5" w:rsidP="00FD09E3">
            <w:pPr>
              <w:spacing w:line="360" w:lineRule="atLeast"/>
              <w:ind w:right="284"/>
              <w:jc w:val="right"/>
              <w:rPr>
                <w:rFonts w:ascii="Arial" w:hAnsi="Arial" w:cs="Arial"/>
                <w:b/>
                <w:bCs/>
              </w:rPr>
            </w:pPr>
            <w:r w:rsidRPr="00FD09E3">
              <w:rPr>
                <w:rFonts w:ascii="Arial" w:hAnsi="Arial"/>
                <w:b/>
                <w:bCs/>
                <w:lang w:val="en-US" w:eastAsia="en-US"/>
              </w:rPr>
              <w:t>1</w:t>
            </w:r>
            <w:r w:rsidR="00FD09E3">
              <w:rPr>
                <w:rFonts w:ascii="Arial" w:hAnsi="Arial"/>
                <w:b/>
                <w:bCs/>
                <w:lang w:val="en-US" w:eastAsia="en-US"/>
              </w:rPr>
              <w:t>,</w:t>
            </w:r>
            <w:r w:rsidRPr="00FD09E3">
              <w:rPr>
                <w:rFonts w:ascii="Arial" w:hAnsi="Arial"/>
                <w:b/>
                <w:bCs/>
                <w:lang w:val="en-US" w:eastAsia="en-US"/>
              </w:rPr>
              <w:t>717</w:t>
            </w:r>
            <w:r w:rsidR="00FD09E3">
              <w:rPr>
                <w:rFonts w:ascii="Arial" w:hAnsi="Arial"/>
                <w:b/>
                <w:bCs/>
                <w:lang w:val="en-US" w:eastAsia="en-US"/>
              </w:rPr>
              <w:t>.</w:t>
            </w:r>
            <w:r w:rsidRPr="00FD09E3">
              <w:rPr>
                <w:rFonts w:ascii="Arial" w:hAnsi="Arial"/>
                <w:b/>
                <w:bCs/>
                <w:lang w:val="en-US" w:eastAsia="en-US"/>
              </w:rPr>
              <w:t>0</w:t>
            </w:r>
          </w:p>
        </w:tc>
        <w:tc>
          <w:tcPr>
            <w:tcW w:w="1644" w:type="dxa"/>
            <w:tcBorders>
              <w:top w:val="single" w:sz="6" w:space="0" w:color="auto"/>
              <w:left w:val="single" w:sz="6" w:space="0" w:color="auto"/>
              <w:bottom w:val="single" w:sz="6" w:space="0" w:color="auto"/>
              <w:right w:val="single" w:sz="6" w:space="0" w:color="auto"/>
            </w:tcBorders>
            <w:hideMark/>
          </w:tcPr>
          <w:p w:rsidR="004E666B" w:rsidRPr="00FD09E3" w:rsidRDefault="007668B5" w:rsidP="00FD09E3">
            <w:pPr>
              <w:spacing w:line="360" w:lineRule="atLeast"/>
              <w:ind w:right="284"/>
              <w:jc w:val="right"/>
              <w:rPr>
                <w:rFonts w:ascii="Arial" w:hAnsi="Arial" w:cs="Arial"/>
              </w:rPr>
            </w:pPr>
            <w:r w:rsidRPr="00FD09E3">
              <w:rPr>
                <w:rFonts w:ascii="Arial" w:hAnsi="Arial"/>
                <w:lang w:val="en-US" w:eastAsia="en-US"/>
              </w:rPr>
              <w:t>1</w:t>
            </w:r>
            <w:r w:rsidR="00FD09E3">
              <w:rPr>
                <w:rFonts w:ascii="Arial" w:hAnsi="Arial"/>
                <w:lang w:val="en-US" w:eastAsia="en-US"/>
              </w:rPr>
              <w:t>,</w:t>
            </w:r>
            <w:r w:rsidRPr="00FD09E3">
              <w:rPr>
                <w:rFonts w:ascii="Arial" w:hAnsi="Arial"/>
                <w:lang w:val="en-US" w:eastAsia="en-US"/>
              </w:rPr>
              <w:t>595</w:t>
            </w:r>
            <w:r w:rsidR="00FD09E3">
              <w:rPr>
                <w:rFonts w:ascii="Arial" w:hAnsi="Arial"/>
                <w:lang w:val="en-US" w:eastAsia="en-US"/>
              </w:rPr>
              <w:t>.</w:t>
            </w:r>
            <w:r w:rsidRPr="00FD09E3">
              <w:rPr>
                <w:rFonts w:ascii="Arial" w:hAnsi="Arial"/>
                <w:lang w:val="en-US" w:eastAsia="en-US"/>
              </w:rPr>
              <w:t>0</w:t>
            </w:r>
          </w:p>
        </w:tc>
        <w:tc>
          <w:tcPr>
            <w:tcW w:w="2551" w:type="dxa"/>
            <w:tcBorders>
              <w:top w:val="single" w:sz="6" w:space="0" w:color="auto"/>
              <w:left w:val="single" w:sz="6" w:space="0" w:color="auto"/>
              <w:bottom w:val="single" w:sz="6" w:space="0" w:color="auto"/>
              <w:right w:val="single" w:sz="12" w:space="0" w:color="auto"/>
            </w:tcBorders>
            <w:hideMark/>
          </w:tcPr>
          <w:p w:rsidR="004E666B" w:rsidRPr="00FD09E3" w:rsidRDefault="004E666B" w:rsidP="00FD09E3">
            <w:pPr>
              <w:tabs>
                <w:tab w:val="left" w:pos="1400"/>
              </w:tabs>
              <w:spacing w:line="360" w:lineRule="atLeast"/>
              <w:ind w:right="851"/>
              <w:rPr>
                <w:rFonts w:ascii="Arial" w:hAnsi="Arial" w:cs="Arial"/>
              </w:rPr>
            </w:pPr>
            <w:r w:rsidRPr="00FD09E3">
              <w:rPr>
                <w:rFonts w:ascii="Arial" w:hAnsi="Arial"/>
                <w:lang w:val="en-US" w:eastAsia="en-US"/>
              </w:rPr>
              <w:t xml:space="preserve">        +  7</w:t>
            </w:r>
            <w:r w:rsidR="00FD09E3">
              <w:rPr>
                <w:rFonts w:ascii="Arial" w:hAnsi="Arial"/>
                <w:lang w:val="en-US" w:eastAsia="en-US"/>
              </w:rPr>
              <w:t>.</w:t>
            </w:r>
            <w:r w:rsidRPr="00FD09E3">
              <w:rPr>
                <w:rFonts w:ascii="Arial" w:hAnsi="Arial"/>
                <w:lang w:val="en-US" w:eastAsia="en-US"/>
              </w:rPr>
              <w:t>6 %</w:t>
            </w:r>
          </w:p>
        </w:tc>
      </w:tr>
      <w:tr w:rsidR="001B71D2" w:rsidRPr="001B71D2" w:rsidTr="00FD09E3">
        <w:tc>
          <w:tcPr>
            <w:tcW w:w="2324" w:type="dxa"/>
            <w:tcBorders>
              <w:top w:val="single" w:sz="6" w:space="0" w:color="auto"/>
              <w:left w:val="single" w:sz="12" w:space="0" w:color="auto"/>
              <w:bottom w:val="single" w:sz="6" w:space="0" w:color="auto"/>
              <w:right w:val="single" w:sz="6" w:space="0" w:color="auto"/>
            </w:tcBorders>
            <w:hideMark/>
          </w:tcPr>
          <w:p w:rsidR="004E666B" w:rsidRPr="00FD09E3" w:rsidRDefault="004E666B">
            <w:pPr>
              <w:tabs>
                <w:tab w:val="left" w:pos="1134"/>
              </w:tabs>
              <w:spacing w:line="360" w:lineRule="atLeast"/>
              <w:rPr>
                <w:rFonts w:ascii="Arial" w:hAnsi="Arial" w:cs="Arial"/>
              </w:rPr>
            </w:pPr>
            <w:r w:rsidRPr="00FD09E3">
              <w:rPr>
                <w:rFonts w:ascii="Arial" w:hAnsi="Arial"/>
              </w:rPr>
              <w:t>Sales revenue</w:t>
            </w:r>
          </w:p>
        </w:tc>
        <w:tc>
          <w:tcPr>
            <w:tcW w:w="851" w:type="dxa"/>
            <w:tcBorders>
              <w:top w:val="single" w:sz="6" w:space="0" w:color="auto"/>
              <w:left w:val="single" w:sz="6" w:space="0" w:color="auto"/>
              <w:bottom w:val="single" w:sz="6" w:space="0" w:color="auto"/>
              <w:right w:val="single" w:sz="6" w:space="0" w:color="auto"/>
            </w:tcBorders>
            <w:hideMark/>
          </w:tcPr>
          <w:p w:rsidR="004E666B" w:rsidRPr="00FD09E3" w:rsidRDefault="004E666B">
            <w:pPr>
              <w:tabs>
                <w:tab w:val="left" w:pos="1134"/>
              </w:tabs>
              <w:spacing w:line="360" w:lineRule="atLeast"/>
              <w:rPr>
                <w:rFonts w:ascii="Arial" w:hAnsi="Arial" w:cs="Arial"/>
                <w:strike/>
              </w:rPr>
            </w:pPr>
            <w:r w:rsidRPr="00FD09E3">
              <w:rPr>
                <w:rFonts w:ascii="Arial" w:hAnsi="Arial"/>
              </w:rPr>
              <w:t>€ m</w:t>
            </w:r>
          </w:p>
        </w:tc>
        <w:tc>
          <w:tcPr>
            <w:tcW w:w="1644" w:type="dxa"/>
            <w:tcBorders>
              <w:top w:val="single" w:sz="6" w:space="0" w:color="auto"/>
              <w:left w:val="single" w:sz="6" w:space="0" w:color="auto"/>
              <w:bottom w:val="single" w:sz="6" w:space="0" w:color="auto"/>
              <w:right w:val="single" w:sz="6" w:space="0" w:color="auto"/>
            </w:tcBorders>
            <w:hideMark/>
          </w:tcPr>
          <w:p w:rsidR="004E666B" w:rsidRPr="00FD09E3" w:rsidRDefault="007668B5" w:rsidP="00FD09E3">
            <w:pPr>
              <w:spacing w:line="360" w:lineRule="atLeast"/>
              <w:ind w:right="284"/>
              <w:jc w:val="right"/>
              <w:rPr>
                <w:rFonts w:ascii="Arial" w:hAnsi="Arial" w:cs="Arial"/>
                <w:b/>
                <w:bCs/>
              </w:rPr>
            </w:pPr>
            <w:r w:rsidRPr="00FD09E3">
              <w:rPr>
                <w:rFonts w:ascii="Arial" w:hAnsi="Arial"/>
                <w:b/>
                <w:bCs/>
                <w:lang w:val="en-US" w:eastAsia="en-US"/>
              </w:rPr>
              <w:t>1</w:t>
            </w:r>
            <w:r w:rsidR="00FD09E3">
              <w:rPr>
                <w:rFonts w:ascii="Arial" w:hAnsi="Arial"/>
                <w:b/>
                <w:bCs/>
                <w:lang w:val="en-US" w:eastAsia="en-US"/>
              </w:rPr>
              <w:t>,</w:t>
            </w:r>
            <w:r w:rsidRPr="00FD09E3">
              <w:rPr>
                <w:rFonts w:ascii="Arial" w:hAnsi="Arial"/>
                <w:b/>
                <w:bCs/>
                <w:lang w:val="en-US" w:eastAsia="en-US"/>
              </w:rPr>
              <w:t>624</w:t>
            </w:r>
            <w:r w:rsidR="00FD09E3">
              <w:rPr>
                <w:rFonts w:ascii="Arial" w:hAnsi="Arial"/>
                <w:b/>
                <w:bCs/>
                <w:lang w:val="en-US" w:eastAsia="en-US"/>
              </w:rPr>
              <w:t>.</w:t>
            </w:r>
            <w:r w:rsidRPr="00FD09E3">
              <w:rPr>
                <w:rFonts w:ascii="Arial" w:hAnsi="Arial"/>
                <w:b/>
                <w:bCs/>
                <w:lang w:val="en-US" w:eastAsia="en-US"/>
              </w:rPr>
              <w:t>3</w:t>
            </w:r>
          </w:p>
        </w:tc>
        <w:tc>
          <w:tcPr>
            <w:tcW w:w="1644" w:type="dxa"/>
            <w:tcBorders>
              <w:top w:val="single" w:sz="6" w:space="0" w:color="auto"/>
              <w:left w:val="single" w:sz="6" w:space="0" w:color="auto"/>
              <w:bottom w:val="single" w:sz="6" w:space="0" w:color="auto"/>
              <w:right w:val="single" w:sz="6" w:space="0" w:color="auto"/>
            </w:tcBorders>
            <w:hideMark/>
          </w:tcPr>
          <w:p w:rsidR="004E666B" w:rsidRPr="00FD09E3" w:rsidRDefault="007668B5" w:rsidP="00FD09E3">
            <w:pPr>
              <w:spacing w:line="360" w:lineRule="atLeast"/>
              <w:ind w:right="284"/>
              <w:jc w:val="right"/>
              <w:rPr>
                <w:rFonts w:ascii="Arial" w:hAnsi="Arial" w:cs="Arial"/>
              </w:rPr>
            </w:pPr>
            <w:r w:rsidRPr="00FD09E3">
              <w:rPr>
                <w:rFonts w:ascii="Arial" w:hAnsi="Arial"/>
                <w:lang w:eastAsia="en-US"/>
              </w:rPr>
              <w:t>1</w:t>
            </w:r>
            <w:r w:rsidR="00FD09E3">
              <w:rPr>
                <w:rFonts w:ascii="Arial" w:hAnsi="Arial"/>
                <w:lang w:eastAsia="en-US"/>
              </w:rPr>
              <w:t>,</w:t>
            </w:r>
            <w:r w:rsidRPr="00FD09E3">
              <w:rPr>
                <w:rFonts w:ascii="Arial" w:hAnsi="Arial"/>
                <w:lang w:eastAsia="en-US"/>
              </w:rPr>
              <w:t>590</w:t>
            </w:r>
            <w:r w:rsidR="00FD09E3">
              <w:rPr>
                <w:rFonts w:ascii="Arial" w:hAnsi="Arial"/>
                <w:lang w:eastAsia="en-US"/>
              </w:rPr>
              <w:t>.</w:t>
            </w:r>
            <w:r w:rsidRPr="00FD09E3">
              <w:rPr>
                <w:rFonts w:ascii="Arial" w:hAnsi="Arial"/>
                <w:lang w:eastAsia="en-US"/>
              </w:rPr>
              <w:t>7</w:t>
            </w:r>
          </w:p>
        </w:tc>
        <w:tc>
          <w:tcPr>
            <w:tcW w:w="2551" w:type="dxa"/>
            <w:tcBorders>
              <w:top w:val="single" w:sz="6" w:space="0" w:color="auto"/>
              <w:left w:val="single" w:sz="6" w:space="0" w:color="auto"/>
              <w:bottom w:val="single" w:sz="6" w:space="0" w:color="auto"/>
              <w:right w:val="single" w:sz="12" w:space="0" w:color="auto"/>
            </w:tcBorders>
            <w:hideMark/>
          </w:tcPr>
          <w:p w:rsidR="004E666B" w:rsidRPr="00FD09E3" w:rsidRDefault="004E666B" w:rsidP="00FD09E3">
            <w:pPr>
              <w:tabs>
                <w:tab w:val="left" w:pos="1400"/>
              </w:tabs>
              <w:spacing w:line="360" w:lineRule="atLeast"/>
              <w:ind w:left="525" w:right="851"/>
              <w:rPr>
                <w:rFonts w:ascii="Arial" w:hAnsi="Arial" w:cs="Arial"/>
              </w:rPr>
            </w:pPr>
            <w:r w:rsidRPr="00FD09E3">
              <w:rPr>
                <w:rFonts w:ascii="Arial" w:hAnsi="Arial"/>
                <w:lang w:eastAsia="en-US"/>
              </w:rPr>
              <w:t>+  2</w:t>
            </w:r>
            <w:r w:rsidR="00FD09E3">
              <w:rPr>
                <w:rFonts w:ascii="Arial" w:hAnsi="Arial"/>
                <w:lang w:eastAsia="en-US"/>
              </w:rPr>
              <w:t>.</w:t>
            </w:r>
            <w:r w:rsidRPr="00FD09E3">
              <w:rPr>
                <w:rFonts w:ascii="Arial" w:hAnsi="Arial"/>
                <w:lang w:eastAsia="en-US"/>
              </w:rPr>
              <w:t>1 %</w:t>
            </w:r>
          </w:p>
        </w:tc>
      </w:tr>
      <w:tr w:rsidR="007668B5" w:rsidRPr="001B71D2" w:rsidTr="00FD09E3">
        <w:tc>
          <w:tcPr>
            <w:tcW w:w="2324" w:type="dxa"/>
            <w:tcBorders>
              <w:top w:val="single" w:sz="6" w:space="0" w:color="auto"/>
              <w:left w:val="single" w:sz="12" w:space="0" w:color="auto"/>
              <w:bottom w:val="single" w:sz="12" w:space="0" w:color="auto"/>
              <w:right w:val="single" w:sz="6" w:space="0" w:color="auto"/>
            </w:tcBorders>
            <w:hideMark/>
          </w:tcPr>
          <w:p w:rsidR="004E666B" w:rsidRPr="00FD09E3" w:rsidRDefault="004E666B" w:rsidP="005E254E">
            <w:pPr>
              <w:tabs>
                <w:tab w:val="left" w:pos="1134"/>
              </w:tabs>
              <w:spacing w:line="360" w:lineRule="atLeast"/>
              <w:rPr>
                <w:rFonts w:ascii="Arial" w:hAnsi="Arial" w:cs="Arial"/>
                <w:i/>
                <w:vertAlign w:val="superscript"/>
              </w:rPr>
            </w:pPr>
            <w:r w:rsidRPr="00FD09E3">
              <w:rPr>
                <w:rFonts w:ascii="Arial" w:hAnsi="Arial"/>
              </w:rPr>
              <w:t xml:space="preserve">Employees </w:t>
            </w:r>
            <w:r w:rsidRPr="00FD09E3">
              <w:rPr>
                <w:rFonts w:ascii="Arial" w:hAnsi="Arial"/>
                <w:sz w:val="18"/>
                <w:szCs w:val="18"/>
              </w:rPr>
              <w:t>(30 Sept.)</w:t>
            </w:r>
          </w:p>
        </w:tc>
        <w:tc>
          <w:tcPr>
            <w:tcW w:w="851" w:type="dxa"/>
            <w:tcBorders>
              <w:top w:val="single" w:sz="6" w:space="0" w:color="auto"/>
              <w:left w:val="single" w:sz="6" w:space="0" w:color="auto"/>
              <w:bottom w:val="single" w:sz="12" w:space="0" w:color="auto"/>
              <w:right w:val="single" w:sz="6" w:space="0" w:color="auto"/>
            </w:tcBorders>
          </w:tcPr>
          <w:p w:rsidR="004E666B" w:rsidRPr="00FD09E3" w:rsidRDefault="004E666B">
            <w:pPr>
              <w:tabs>
                <w:tab w:val="left" w:pos="1134"/>
              </w:tabs>
              <w:spacing w:line="360" w:lineRule="atLeast"/>
              <w:rPr>
                <w:rFonts w:ascii="Arial" w:hAnsi="Arial" w:cs="Arial"/>
                <w:lang w:eastAsia="en-US"/>
              </w:rPr>
            </w:pPr>
          </w:p>
        </w:tc>
        <w:tc>
          <w:tcPr>
            <w:tcW w:w="1644" w:type="dxa"/>
            <w:tcBorders>
              <w:top w:val="single" w:sz="6" w:space="0" w:color="auto"/>
              <w:left w:val="single" w:sz="6" w:space="0" w:color="auto"/>
              <w:bottom w:val="single" w:sz="12" w:space="0" w:color="auto"/>
              <w:right w:val="single" w:sz="6" w:space="0" w:color="auto"/>
            </w:tcBorders>
            <w:hideMark/>
          </w:tcPr>
          <w:p w:rsidR="004E666B" w:rsidRPr="00FD09E3" w:rsidRDefault="004E666B" w:rsidP="00FD09E3">
            <w:pPr>
              <w:spacing w:line="360" w:lineRule="atLeast"/>
              <w:ind w:right="284"/>
              <w:jc w:val="right"/>
              <w:rPr>
                <w:rFonts w:ascii="Arial" w:hAnsi="Arial" w:cs="Arial"/>
                <w:b/>
                <w:bCs/>
              </w:rPr>
            </w:pPr>
            <w:r w:rsidRPr="00FD09E3">
              <w:rPr>
                <w:rFonts w:ascii="Arial" w:hAnsi="Arial"/>
                <w:b/>
                <w:bCs/>
                <w:lang w:eastAsia="en-US"/>
              </w:rPr>
              <w:t>15</w:t>
            </w:r>
            <w:r w:rsidR="00FD09E3">
              <w:rPr>
                <w:rFonts w:ascii="Arial" w:hAnsi="Arial"/>
                <w:b/>
                <w:bCs/>
                <w:lang w:eastAsia="en-US"/>
              </w:rPr>
              <w:t>,</w:t>
            </w:r>
            <w:r w:rsidRPr="00FD09E3">
              <w:rPr>
                <w:rFonts w:ascii="Arial" w:hAnsi="Arial"/>
                <w:b/>
                <w:bCs/>
                <w:lang w:eastAsia="en-US"/>
              </w:rPr>
              <w:t>539</w:t>
            </w:r>
          </w:p>
        </w:tc>
        <w:tc>
          <w:tcPr>
            <w:tcW w:w="1644" w:type="dxa"/>
            <w:tcBorders>
              <w:top w:val="single" w:sz="6" w:space="0" w:color="auto"/>
              <w:left w:val="single" w:sz="6" w:space="0" w:color="auto"/>
              <w:bottom w:val="single" w:sz="12" w:space="0" w:color="auto"/>
              <w:right w:val="single" w:sz="6" w:space="0" w:color="auto"/>
            </w:tcBorders>
            <w:hideMark/>
          </w:tcPr>
          <w:p w:rsidR="004E666B" w:rsidRPr="00FD09E3" w:rsidRDefault="004E666B" w:rsidP="00FD09E3">
            <w:pPr>
              <w:spacing w:line="360" w:lineRule="atLeast"/>
              <w:ind w:right="284"/>
              <w:jc w:val="right"/>
              <w:rPr>
                <w:rFonts w:ascii="Arial" w:hAnsi="Arial" w:cs="Arial"/>
              </w:rPr>
            </w:pPr>
            <w:r w:rsidRPr="00FD09E3">
              <w:rPr>
                <w:rFonts w:ascii="Arial" w:hAnsi="Arial"/>
                <w:lang w:eastAsia="en-US"/>
              </w:rPr>
              <w:t>15</w:t>
            </w:r>
            <w:r w:rsidR="00FD09E3">
              <w:rPr>
                <w:rFonts w:ascii="Arial" w:hAnsi="Arial"/>
                <w:lang w:eastAsia="en-US"/>
              </w:rPr>
              <w:t>,</w:t>
            </w:r>
            <w:r w:rsidRPr="00FD09E3">
              <w:rPr>
                <w:rFonts w:ascii="Arial" w:hAnsi="Arial"/>
                <w:lang w:eastAsia="en-US"/>
              </w:rPr>
              <w:t>883</w:t>
            </w:r>
          </w:p>
        </w:tc>
        <w:tc>
          <w:tcPr>
            <w:tcW w:w="2551" w:type="dxa"/>
            <w:tcBorders>
              <w:top w:val="single" w:sz="6" w:space="0" w:color="auto"/>
              <w:left w:val="single" w:sz="6" w:space="0" w:color="auto"/>
              <w:bottom w:val="single" w:sz="12" w:space="0" w:color="auto"/>
              <w:right w:val="single" w:sz="12" w:space="0" w:color="auto"/>
            </w:tcBorders>
            <w:hideMark/>
          </w:tcPr>
          <w:p w:rsidR="004E666B" w:rsidRPr="00FD09E3" w:rsidRDefault="004E666B" w:rsidP="00FD09E3">
            <w:pPr>
              <w:tabs>
                <w:tab w:val="left" w:pos="1400"/>
              </w:tabs>
              <w:spacing w:line="360" w:lineRule="atLeast"/>
              <w:ind w:right="851"/>
              <w:rPr>
                <w:rFonts w:ascii="Arial" w:hAnsi="Arial" w:cs="Arial"/>
              </w:rPr>
            </w:pPr>
            <w:r w:rsidRPr="00FD09E3">
              <w:rPr>
                <w:rFonts w:ascii="Arial" w:hAnsi="Arial"/>
                <w:lang w:eastAsia="en-US"/>
              </w:rPr>
              <w:t xml:space="preserve">        ‒  2</w:t>
            </w:r>
            <w:r w:rsidR="00FD09E3">
              <w:rPr>
                <w:rFonts w:ascii="Arial" w:hAnsi="Arial"/>
                <w:lang w:eastAsia="en-US"/>
              </w:rPr>
              <w:t>.</w:t>
            </w:r>
            <w:r w:rsidRPr="00FD09E3">
              <w:rPr>
                <w:rFonts w:ascii="Arial" w:hAnsi="Arial"/>
                <w:lang w:eastAsia="en-US"/>
              </w:rPr>
              <w:t>2 %</w:t>
            </w:r>
          </w:p>
        </w:tc>
      </w:tr>
    </w:tbl>
    <w:p w:rsidR="004E666B" w:rsidRPr="001B71D2" w:rsidRDefault="004E666B" w:rsidP="004E666B">
      <w:pPr>
        <w:ind w:right="-1368"/>
        <w:rPr>
          <w:rFonts w:ascii="Arial" w:hAnsi="Arial" w:cs="Arial"/>
        </w:rPr>
      </w:pPr>
    </w:p>
    <w:p w:rsidR="004E666B" w:rsidRPr="001B71D2" w:rsidRDefault="004E666B" w:rsidP="004E666B">
      <w:pPr>
        <w:jc w:val="lowKashida"/>
        <w:rPr>
          <w:rFonts w:ascii="Arial" w:hAnsi="Arial" w:cs="Arial"/>
        </w:rPr>
      </w:pPr>
    </w:p>
    <w:p w:rsidR="004E666B" w:rsidRPr="001B71D2" w:rsidRDefault="004E666B" w:rsidP="004E666B">
      <w:pPr>
        <w:spacing w:line="360" w:lineRule="auto"/>
        <w:ind w:right="74"/>
        <w:rPr>
          <w:rFonts w:ascii="Arial" w:hAnsi="Arial" w:cs="Arial"/>
          <w:b/>
        </w:rPr>
      </w:pPr>
      <w:r>
        <w:rPr>
          <w:rFonts w:ascii="Arial" w:hAnsi="Arial"/>
          <w:b/>
        </w:rPr>
        <w:t>Order intake and sales revenue</w:t>
      </w:r>
    </w:p>
    <w:p w:rsidR="00144AE2" w:rsidRPr="001B71D2" w:rsidRDefault="00144AE2" w:rsidP="004E666B">
      <w:pPr>
        <w:spacing w:line="360" w:lineRule="auto"/>
        <w:ind w:right="74"/>
        <w:rPr>
          <w:rFonts w:ascii="Arial" w:hAnsi="Arial" w:cs="Arial"/>
        </w:rPr>
      </w:pPr>
    </w:p>
    <w:p w:rsidR="00B34DB4" w:rsidRPr="001B71D2" w:rsidRDefault="00144AE2" w:rsidP="001017B6">
      <w:pPr>
        <w:spacing w:line="360" w:lineRule="auto"/>
        <w:ind w:right="-108"/>
        <w:jc w:val="both"/>
        <w:rPr>
          <w:rFonts w:ascii="Arial" w:hAnsi="Arial" w:cs="Arial"/>
        </w:rPr>
      </w:pPr>
      <w:r>
        <w:rPr>
          <w:rFonts w:ascii="Arial" w:hAnsi="Arial"/>
        </w:rPr>
        <w:t xml:space="preserve">The KSB Group’s order intake rose by € 122.0 million to € 1,717.0 million from January to September 2017 compared with the prior-year figure for the same period. This 7.6 % growth can primarily be attributed to orders received from the non-European Group companies, with the Regions Asia / Pacific, Americas and Middle East / Africa recording double-digit growth rates. In total, the European companies generated slightly higher order intake year on year. </w:t>
      </w:r>
    </w:p>
    <w:p w:rsidR="00B34DB4" w:rsidRPr="001B71D2" w:rsidRDefault="00B34DB4" w:rsidP="00900CB9">
      <w:pPr>
        <w:spacing w:line="360" w:lineRule="auto"/>
        <w:ind w:right="74"/>
        <w:jc w:val="both"/>
        <w:rPr>
          <w:rFonts w:ascii="Arial" w:hAnsi="Arial" w:cs="Arial"/>
        </w:rPr>
      </w:pPr>
    </w:p>
    <w:p w:rsidR="00144AE2" w:rsidRPr="001B71D2" w:rsidRDefault="00B34DB4" w:rsidP="00900CB9">
      <w:pPr>
        <w:spacing w:line="360" w:lineRule="auto"/>
        <w:ind w:right="-108"/>
        <w:jc w:val="both"/>
        <w:rPr>
          <w:rFonts w:ascii="Arial" w:hAnsi="Arial" w:cs="Arial"/>
        </w:rPr>
      </w:pPr>
      <w:r>
        <w:rPr>
          <w:rFonts w:ascii="Arial" w:hAnsi="Arial"/>
        </w:rPr>
        <w:t>The strongest growth was recorded in the water and waste water business, as well as in industry and mining. Orders for pumps took a prominent place, also in terms of growth rates, followed by valves and service.</w:t>
      </w:r>
    </w:p>
    <w:p w:rsidR="00682482" w:rsidRPr="001B71D2" w:rsidRDefault="00682482" w:rsidP="00900CB9">
      <w:pPr>
        <w:spacing w:line="360" w:lineRule="auto"/>
        <w:ind w:right="-108"/>
        <w:jc w:val="both"/>
        <w:rPr>
          <w:rFonts w:ascii="Arial" w:hAnsi="Arial" w:cs="Arial"/>
        </w:rPr>
      </w:pPr>
    </w:p>
    <w:p w:rsidR="00D45CD9" w:rsidRPr="001B71D2" w:rsidRDefault="00D45CD9" w:rsidP="00D45CD9">
      <w:pPr>
        <w:spacing w:line="360" w:lineRule="auto"/>
        <w:ind w:right="-108"/>
        <w:jc w:val="both"/>
        <w:rPr>
          <w:rFonts w:ascii="Arial" w:hAnsi="Arial" w:cs="Arial"/>
        </w:rPr>
      </w:pPr>
      <w:r>
        <w:rPr>
          <w:rFonts w:ascii="Arial" w:hAnsi="Arial"/>
        </w:rPr>
        <w:t xml:space="preserve">Consolidated sales revenue in the reporting period, with an increase of € 33.6 million (+ 2.1 %) to € 1,624.3, lagged behind order intake, as expected. The reason was a </w:t>
      </w:r>
      <w:r>
        <w:rPr>
          <w:rFonts w:ascii="Arial" w:hAnsi="Arial"/>
        </w:rPr>
        <w:lastRenderedPageBreak/>
        <w:t xml:space="preserve">weaker development of the project business in previous years, which led to a shorter pipeline of major orders to be completed during the reporting period. </w:t>
      </w:r>
    </w:p>
    <w:p w:rsidR="00D837C3" w:rsidRPr="001B71D2" w:rsidRDefault="00D837C3" w:rsidP="004E666B">
      <w:pPr>
        <w:spacing w:line="360" w:lineRule="auto"/>
        <w:ind w:right="-108"/>
        <w:jc w:val="both"/>
        <w:rPr>
          <w:rFonts w:ascii="Arial" w:hAnsi="Arial" w:cs="Arial"/>
        </w:rPr>
      </w:pPr>
    </w:p>
    <w:p w:rsidR="00D837C3" w:rsidRPr="001B71D2" w:rsidRDefault="00D837C3" w:rsidP="004E666B">
      <w:pPr>
        <w:spacing w:line="360" w:lineRule="auto"/>
        <w:ind w:right="-108"/>
        <w:jc w:val="both"/>
        <w:rPr>
          <w:rFonts w:ascii="Arial" w:hAnsi="Arial" w:cs="Arial"/>
        </w:rPr>
      </w:pPr>
      <w:r>
        <w:rPr>
          <w:rFonts w:ascii="Arial" w:hAnsi="Arial"/>
        </w:rPr>
        <w:t xml:space="preserve">The increase in consolidated sales revenue stemmed from orders for pumps and service. Sales revenue for valves at the end of September was, in contrast, lower year on year. Apart from the weak demand for shut-off butterfly valves for liquefied gas tankers, this can also be attributed to some extent to the sale of the valve business of a USA-based company. </w:t>
      </w:r>
    </w:p>
    <w:p w:rsidR="00911A1B" w:rsidRPr="001B71D2" w:rsidRDefault="00911A1B" w:rsidP="004E666B">
      <w:pPr>
        <w:spacing w:line="360" w:lineRule="auto"/>
        <w:ind w:right="-108"/>
        <w:jc w:val="both"/>
        <w:rPr>
          <w:rFonts w:ascii="Arial" w:hAnsi="Arial" w:cs="Arial"/>
        </w:rPr>
      </w:pPr>
    </w:p>
    <w:p w:rsidR="000210D4" w:rsidRPr="001B71D2" w:rsidRDefault="00234FF1" w:rsidP="004E666B">
      <w:pPr>
        <w:spacing w:line="360" w:lineRule="auto"/>
        <w:ind w:right="-108"/>
        <w:jc w:val="both"/>
        <w:rPr>
          <w:rFonts w:ascii="Arial" w:hAnsi="Arial" w:cs="Arial"/>
        </w:rPr>
      </w:pPr>
      <w:r>
        <w:rPr>
          <w:rFonts w:ascii="Arial" w:hAnsi="Arial"/>
        </w:rPr>
        <w:t>Currency exchange effects amounting to about € 10 million, respectively, contributed to the positive development of order intake and sales revenue. These are mainly the result of the Brazilian real’s and South African rand’s change in exchange rate against the euro.</w:t>
      </w:r>
    </w:p>
    <w:p w:rsidR="000210D4" w:rsidRPr="001B71D2" w:rsidRDefault="000210D4" w:rsidP="004E666B">
      <w:pPr>
        <w:spacing w:line="360" w:lineRule="auto"/>
        <w:ind w:right="-108"/>
        <w:jc w:val="both"/>
        <w:rPr>
          <w:rFonts w:ascii="Arial" w:hAnsi="Arial" w:cs="Arial"/>
        </w:rPr>
      </w:pPr>
    </w:p>
    <w:p w:rsidR="004E666B" w:rsidRPr="001B71D2" w:rsidRDefault="004E666B" w:rsidP="004E666B">
      <w:pPr>
        <w:spacing w:line="360" w:lineRule="auto"/>
        <w:ind w:right="74"/>
        <w:jc w:val="both"/>
        <w:rPr>
          <w:rFonts w:ascii="Arial" w:hAnsi="Arial" w:cs="Arial"/>
          <w:b/>
        </w:rPr>
      </w:pPr>
      <w:r>
        <w:rPr>
          <w:rFonts w:ascii="Arial" w:hAnsi="Arial"/>
          <w:b/>
        </w:rPr>
        <w:t>Change in number of employees</w:t>
      </w:r>
    </w:p>
    <w:p w:rsidR="004E666B" w:rsidRPr="001B71D2" w:rsidRDefault="004E666B" w:rsidP="004E666B">
      <w:pPr>
        <w:spacing w:line="360" w:lineRule="auto"/>
        <w:ind w:right="74"/>
        <w:jc w:val="both"/>
        <w:rPr>
          <w:rFonts w:ascii="Arial" w:hAnsi="Arial" w:cs="Arial"/>
          <w:b/>
        </w:rPr>
      </w:pPr>
    </w:p>
    <w:p w:rsidR="004E666B" w:rsidRPr="001B71D2" w:rsidRDefault="004E666B" w:rsidP="001017B6">
      <w:pPr>
        <w:spacing w:line="360" w:lineRule="auto"/>
        <w:ind w:right="-108"/>
        <w:jc w:val="both"/>
        <w:rPr>
          <w:rFonts w:ascii="Arial" w:hAnsi="Arial" w:cs="Arial"/>
        </w:rPr>
      </w:pPr>
      <w:r>
        <w:rPr>
          <w:rFonts w:ascii="Arial" w:hAnsi="Arial"/>
        </w:rPr>
        <w:t>The number of KSB employees in the Group fell by 344 to 15,539 in the past twelve months (as at 30 September 2017). This decline of 2.2 % was largely the result of the ongoing Efficiency Improvement Programme that was launched in 2016 and</w:t>
      </w:r>
      <w:r w:rsidR="00620455">
        <w:rPr>
          <w:rFonts w:ascii="Arial" w:hAnsi="Arial"/>
        </w:rPr>
        <w:t xml:space="preserve"> </w:t>
      </w:r>
      <w:r>
        <w:rPr>
          <w:rFonts w:ascii="Arial" w:hAnsi="Arial"/>
        </w:rPr>
        <w:t>also aim</w:t>
      </w:r>
      <w:r w:rsidR="00620455">
        <w:rPr>
          <w:rFonts w:ascii="Arial" w:hAnsi="Arial"/>
        </w:rPr>
        <w:t>s</w:t>
      </w:r>
      <w:r>
        <w:rPr>
          <w:rFonts w:ascii="Arial" w:hAnsi="Arial"/>
        </w:rPr>
        <w:t xml:space="preserve"> at a reduction in personnel expenses. </w:t>
      </w:r>
    </w:p>
    <w:p w:rsidR="00D45CD9" w:rsidRPr="001B71D2" w:rsidRDefault="00D45CD9" w:rsidP="004E666B">
      <w:pPr>
        <w:spacing w:line="360" w:lineRule="auto"/>
        <w:ind w:right="74"/>
        <w:jc w:val="both"/>
        <w:rPr>
          <w:rFonts w:ascii="Arial" w:hAnsi="Arial" w:cs="Arial"/>
          <w:b/>
        </w:rPr>
      </w:pPr>
    </w:p>
    <w:p w:rsidR="004E666B" w:rsidRPr="001B71D2" w:rsidRDefault="004E666B" w:rsidP="004E666B">
      <w:pPr>
        <w:spacing w:line="360" w:lineRule="auto"/>
        <w:ind w:right="74"/>
        <w:jc w:val="both"/>
        <w:rPr>
          <w:rFonts w:ascii="Arial" w:hAnsi="Arial" w:cs="Arial"/>
          <w:b/>
        </w:rPr>
      </w:pPr>
      <w:r>
        <w:rPr>
          <w:rFonts w:ascii="Arial" w:hAnsi="Arial"/>
          <w:b/>
        </w:rPr>
        <w:t>Results of operations and financial position</w:t>
      </w:r>
    </w:p>
    <w:p w:rsidR="004E666B" w:rsidRPr="001B71D2" w:rsidRDefault="004E666B" w:rsidP="004E666B">
      <w:pPr>
        <w:spacing w:line="360" w:lineRule="auto"/>
        <w:ind w:right="74"/>
        <w:jc w:val="both"/>
        <w:rPr>
          <w:rFonts w:ascii="Arial" w:hAnsi="Arial" w:cs="Arial"/>
          <w:highlight w:val="yellow"/>
        </w:rPr>
      </w:pPr>
    </w:p>
    <w:p w:rsidR="004E666B" w:rsidRPr="001B71D2" w:rsidRDefault="00DC0D48" w:rsidP="001017B6">
      <w:pPr>
        <w:spacing w:line="360" w:lineRule="auto"/>
        <w:ind w:right="-108"/>
        <w:jc w:val="both"/>
        <w:rPr>
          <w:rFonts w:ascii="Arial" w:hAnsi="Arial" w:cs="Arial"/>
        </w:rPr>
      </w:pPr>
      <w:r>
        <w:rPr>
          <w:rFonts w:ascii="Arial" w:hAnsi="Arial"/>
        </w:rPr>
        <w:t>In the first three quarters of the year, KSB significantly increased consolidated earnings before income taxes (EBT) compared with the same period of the previous year, and thus confirmed the forecast provided in the annual report. Higher sales revenue and lower one-off and restructuring costs compared with the previous year contributed to the improved earnings. Another factor was positive effects from the Efficiency Improve</w:t>
      </w:r>
      <w:r w:rsidR="00620455">
        <w:rPr>
          <w:rFonts w:ascii="Arial" w:hAnsi="Arial"/>
        </w:rPr>
        <w:softHyphen/>
      </w:r>
      <w:r>
        <w:rPr>
          <w:rFonts w:ascii="Arial" w:hAnsi="Arial"/>
        </w:rPr>
        <w:t xml:space="preserve">ment Programme that aims at considerably lowering material, staff and overhead costs. </w:t>
      </w:r>
    </w:p>
    <w:p w:rsidR="007C4241" w:rsidRPr="001B71D2" w:rsidRDefault="004E666B" w:rsidP="001017B6">
      <w:pPr>
        <w:spacing w:line="360" w:lineRule="auto"/>
        <w:ind w:right="-108"/>
        <w:jc w:val="both"/>
        <w:rPr>
          <w:rFonts w:ascii="Arial" w:hAnsi="Arial" w:cs="Arial"/>
        </w:rPr>
      </w:pPr>
      <w:r>
        <w:rPr>
          <w:rFonts w:ascii="Arial" w:hAnsi="Arial"/>
        </w:rPr>
        <w:t>The difference between interest-bearing financial assets and financial liabilities (net financial position) ranged at the previous year’s level of € 260 million as at 30 Sep</w:t>
      </w:r>
      <w:r w:rsidR="001017B6">
        <w:rPr>
          <w:rFonts w:ascii="Arial" w:hAnsi="Arial"/>
        </w:rPr>
        <w:softHyphen/>
      </w:r>
      <w:r>
        <w:rPr>
          <w:rFonts w:ascii="Arial" w:hAnsi="Arial"/>
        </w:rPr>
        <w:t>tember.</w:t>
      </w:r>
    </w:p>
    <w:p w:rsidR="003576F5" w:rsidRPr="001B71D2" w:rsidRDefault="003576F5" w:rsidP="004E666B">
      <w:pPr>
        <w:spacing w:line="360" w:lineRule="auto"/>
        <w:ind w:right="74"/>
        <w:jc w:val="both"/>
        <w:rPr>
          <w:rFonts w:ascii="Arial" w:hAnsi="Arial" w:cs="Arial"/>
        </w:rPr>
      </w:pPr>
    </w:p>
    <w:p w:rsidR="004E666B" w:rsidRPr="001B71D2" w:rsidRDefault="004E666B" w:rsidP="004E666B">
      <w:pPr>
        <w:spacing w:line="360" w:lineRule="auto"/>
        <w:ind w:right="74"/>
        <w:jc w:val="both"/>
        <w:rPr>
          <w:rFonts w:ascii="Arial" w:hAnsi="Arial" w:cs="Arial"/>
          <w:b/>
        </w:rPr>
      </w:pPr>
      <w:r>
        <w:rPr>
          <w:rFonts w:ascii="Arial" w:hAnsi="Arial"/>
          <w:b/>
        </w:rPr>
        <w:t xml:space="preserve">Outlook </w:t>
      </w:r>
    </w:p>
    <w:p w:rsidR="004E666B" w:rsidRPr="001B71D2" w:rsidRDefault="004E666B" w:rsidP="004E666B">
      <w:pPr>
        <w:spacing w:line="360" w:lineRule="auto"/>
        <w:ind w:right="74"/>
        <w:jc w:val="both"/>
        <w:rPr>
          <w:rFonts w:ascii="Arial" w:hAnsi="Arial" w:cs="Arial"/>
        </w:rPr>
      </w:pPr>
    </w:p>
    <w:p w:rsidR="00E32C8C" w:rsidRPr="001B71D2" w:rsidRDefault="007C4241" w:rsidP="001017B6">
      <w:pPr>
        <w:spacing w:line="360" w:lineRule="auto"/>
        <w:ind w:right="-108"/>
        <w:jc w:val="both"/>
        <w:rPr>
          <w:rFonts w:ascii="Arial" w:hAnsi="Arial" w:cs="Arial"/>
        </w:rPr>
      </w:pPr>
      <w:r>
        <w:rPr>
          <w:rFonts w:ascii="Arial" w:hAnsi="Arial"/>
        </w:rPr>
        <w:t xml:space="preserve">KSB is maintaining its forecast for 2017. A significant increase in order intake is expected for the full year, fuelled by the positive development of KSB’s standard business and an upturn in its project business. Sales revenue will, according to expectations, not be able to keep pace with the order intake development, as the new project orders that are currently being processed will only be reflected in sales revenue in the course of the next few years. Sales revenue for 2017 is thus anticipated to be almost at the same level as in the previous year. </w:t>
      </w:r>
    </w:p>
    <w:p w:rsidR="00E32C8C" w:rsidRPr="001B71D2" w:rsidRDefault="00E32C8C" w:rsidP="00902F42">
      <w:pPr>
        <w:spacing w:line="360" w:lineRule="auto"/>
        <w:ind w:right="74"/>
        <w:jc w:val="both"/>
        <w:rPr>
          <w:rFonts w:ascii="Arial" w:hAnsi="Arial" w:cs="Arial"/>
        </w:rPr>
      </w:pPr>
    </w:p>
    <w:p w:rsidR="005E254E" w:rsidRPr="001B71D2" w:rsidRDefault="00E32C8C" w:rsidP="001017B6">
      <w:pPr>
        <w:spacing w:line="360" w:lineRule="auto"/>
        <w:ind w:right="-108"/>
        <w:jc w:val="both"/>
        <w:rPr>
          <w:rFonts w:ascii="Arial" w:hAnsi="Arial" w:cs="Arial"/>
          <w:bCs/>
        </w:rPr>
      </w:pPr>
      <w:r>
        <w:rPr>
          <w:rFonts w:ascii="Arial" w:hAnsi="Arial"/>
        </w:rPr>
        <w:t xml:space="preserve">Consolidated earnings before income taxes for the full year will considerably exceed the prior-year level. </w:t>
      </w:r>
      <w:r>
        <w:rPr>
          <w:rFonts w:ascii="Arial" w:hAnsi="Arial"/>
          <w:bCs/>
        </w:rPr>
        <w:t xml:space="preserve">There are no changes to the operational opportunities and risks as described in the half-year financial report.  </w:t>
      </w:r>
    </w:p>
    <w:p w:rsidR="005E254E" w:rsidRPr="001B71D2" w:rsidRDefault="005E254E" w:rsidP="00DD7339">
      <w:pPr>
        <w:spacing w:line="360" w:lineRule="auto"/>
        <w:ind w:right="74"/>
        <w:jc w:val="both"/>
        <w:rPr>
          <w:rFonts w:ascii="Arial" w:hAnsi="Arial" w:cs="Arial"/>
          <w:bCs/>
        </w:rPr>
      </w:pPr>
    </w:p>
    <w:p w:rsidR="00750C35" w:rsidRPr="001B71D2" w:rsidRDefault="00750C35" w:rsidP="00E9774F">
      <w:pPr>
        <w:spacing w:line="360" w:lineRule="auto"/>
        <w:ind w:right="74"/>
        <w:jc w:val="both"/>
        <w:rPr>
          <w:rFonts w:ascii="Arial" w:hAnsi="Arial" w:cs="Arial"/>
          <w:sz w:val="20"/>
          <w:szCs w:val="20"/>
        </w:rPr>
      </w:pPr>
    </w:p>
    <w:sectPr w:rsidR="00750C35" w:rsidRPr="001B71D2" w:rsidSect="00677219">
      <w:headerReference w:type="default" r:id="rId8"/>
      <w:footerReference w:type="default" r:id="rId9"/>
      <w:pgSz w:w="11906" w:h="16838" w:code="9"/>
      <w:pgMar w:top="1701" w:right="1418" w:bottom="1701" w:left="1418" w:header="851" w:footer="72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705C1" w:rsidRDefault="00C705C1">
      <w:r>
        <w:separator/>
      </w:r>
    </w:p>
  </w:endnote>
  <w:endnote w:type="continuationSeparator" w:id="0">
    <w:p w:rsidR="00C705C1" w:rsidRDefault="00C705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4A4D" w:rsidRPr="00F14E1D" w:rsidRDefault="00C54A4D" w:rsidP="003458DB">
    <w:pPr>
      <w:pStyle w:val="Fuzeile"/>
    </w:pPr>
  </w:p>
  <w:p w:rsidR="00C54A4D" w:rsidRPr="00F14E1D" w:rsidRDefault="00C54A4D" w:rsidP="008B5855">
    <w:pPr>
      <w:pStyle w:val="Fuzeile"/>
    </w:pPr>
  </w:p>
  <w:p w:rsidR="00C54A4D" w:rsidRDefault="00A13EDF">
    <w:pPr>
      <w:pStyle w:val="Fuzeile"/>
    </w:pPr>
    <w:r>
      <w:rPr>
        <w:noProof/>
        <w:lang w:val="de-DE"/>
      </w:rPr>
      <w:drawing>
        <wp:inline distT="0" distB="0" distL="0" distR="0" wp14:anchorId="4FEC9075" wp14:editId="416EC350">
          <wp:extent cx="5661660" cy="324659"/>
          <wp:effectExtent l="0" t="0" r="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Z_1001_FO_FT_vorstand_170913.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5870759" cy="336649"/>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705C1" w:rsidRDefault="00C705C1">
      <w:r>
        <w:separator/>
      </w:r>
    </w:p>
  </w:footnote>
  <w:footnote w:type="continuationSeparator" w:id="0">
    <w:p w:rsidR="00C705C1" w:rsidRDefault="00C705C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793D" w:rsidRDefault="00A13EDF" w:rsidP="003206A8">
    <w:pPr>
      <w:jc w:val="right"/>
    </w:pPr>
    <w:r>
      <w:rPr>
        <w:noProof/>
        <w:lang w:val="de-DE"/>
      </w:rPr>
      <w:drawing>
        <wp:anchor distT="0" distB="0" distL="114300" distR="114300" simplePos="0" relativeHeight="251659264" behindDoc="0" locked="0" layoutInCell="1" allowOverlap="1" wp14:anchorId="2B15384D" wp14:editId="681DB584">
          <wp:simplePos x="0" y="0"/>
          <wp:positionH relativeFrom="column">
            <wp:posOffset>4403090</wp:posOffset>
          </wp:positionH>
          <wp:positionV relativeFrom="paragraph">
            <wp:posOffset>-639445</wp:posOffset>
          </wp:positionV>
          <wp:extent cx="1965960" cy="1005840"/>
          <wp:effectExtent l="0" t="0" r="0" b="3810"/>
          <wp:wrapNone/>
          <wp:docPr id="1" name="Bild 1" descr="BS_LetterPaper_210x297_Template_de_en_140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S_LetterPaper_210x297_Template_de_en_140108"/>
                  <pic:cNvPicPr>
                    <a:picLocks noChangeAspect="1" noChangeArrowheads="1"/>
                  </pic:cNvPicPr>
                </pic:nvPicPr>
                <pic:blipFill rotWithShape="1">
                  <a:blip r:embed="rId1">
                    <a:extLst>
                      <a:ext uri="{28A0092B-C50C-407E-A947-70E740481C1C}">
                        <a14:useLocalDpi xmlns:a14="http://schemas.microsoft.com/office/drawing/2010/main" val="0"/>
                      </a:ext>
                    </a:extLst>
                  </a:blip>
                  <a:srcRect l="73992"/>
                  <a:stretch/>
                </pic:blipFill>
                <pic:spPr bwMode="auto">
                  <a:xfrm>
                    <a:off x="0" y="0"/>
                    <a:ext cx="1965960" cy="100584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F874564"/>
    <w:multiLevelType w:val="hybridMultilevel"/>
    <w:tmpl w:val="CC380008"/>
    <w:lvl w:ilvl="0" w:tplc="C3ECAF90">
      <w:start w:val="10"/>
      <w:numFmt w:val="bullet"/>
      <w:lvlText w:val="-"/>
      <w:lvlJc w:val="left"/>
      <w:pPr>
        <w:ind w:left="885" w:hanging="360"/>
      </w:pPr>
      <w:rPr>
        <w:rFonts w:ascii="Arial" w:eastAsia="Times New Roman" w:hAnsi="Arial" w:cs="Arial" w:hint="default"/>
      </w:rPr>
    </w:lvl>
    <w:lvl w:ilvl="1" w:tplc="04090003" w:tentative="1">
      <w:start w:val="1"/>
      <w:numFmt w:val="bullet"/>
      <w:lvlText w:val="o"/>
      <w:lvlJc w:val="left"/>
      <w:pPr>
        <w:ind w:left="1605" w:hanging="360"/>
      </w:pPr>
      <w:rPr>
        <w:rFonts w:ascii="Courier New" w:hAnsi="Courier New" w:cs="Courier New" w:hint="default"/>
      </w:rPr>
    </w:lvl>
    <w:lvl w:ilvl="2" w:tplc="04090005" w:tentative="1">
      <w:start w:val="1"/>
      <w:numFmt w:val="bullet"/>
      <w:lvlText w:val=""/>
      <w:lvlJc w:val="left"/>
      <w:pPr>
        <w:ind w:left="2325" w:hanging="360"/>
      </w:pPr>
      <w:rPr>
        <w:rFonts w:ascii="Wingdings" w:hAnsi="Wingdings" w:hint="default"/>
      </w:rPr>
    </w:lvl>
    <w:lvl w:ilvl="3" w:tplc="04090001" w:tentative="1">
      <w:start w:val="1"/>
      <w:numFmt w:val="bullet"/>
      <w:lvlText w:val=""/>
      <w:lvlJc w:val="left"/>
      <w:pPr>
        <w:ind w:left="3045" w:hanging="360"/>
      </w:pPr>
      <w:rPr>
        <w:rFonts w:ascii="Symbol" w:hAnsi="Symbol" w:hint="default"/>
      </w:rPr>
    </w:lvl>
    <w:lvl w:ilvl="4" w:tplc="04090003" w:tentative="1">
      <w:start w:val="1"/>
      <w:numFmt w:val="bullet"/>
      <w:lvlText w:val="o"/>
      <w:lvlJc w:val="left"/>
      <w:pPr>
        <w:ind w:left="3765" w:hanging="360"/>
      </w:pPr>
      <w:rPr>
        <w:rFonts w:ascii="Courier New" w:hAnsi="Courier New" w:cs="Courier New" w:hint="default"/>
      </w:rPr>
    </w:lvl>
    <w:lvl w:ilvl="5" w:tplc="04090005" w:tentative="1">
      <w:start w:val="1"/>
      <w:numFmt w:val="bullet"/>
      <w:lvlText w:val=""/>
      <w:lvlJc w:val="left"/>
      <w:pPr>
        <w:ind w:left="4485" w:hanging="360"/>
      </w:pPr>
      <w:rPr>
        <w:rFonts w:ascii="Wingdings" w:hAnsi="Wingdings" w:hint="default"/>
      </w:rPr>
    </w:lvl>
    <w:lvl w:ilvl="6" w:tplc="04090001" w:tentative="1">
      <w:start w:val="1"/>
      <w:numFmt w:val="bullet"/>
      <w:lvlText w:val=""/>
      <w:lvlJc w:val="left"/>
      <w:pPr>
        <w:ind w:left="5205" w:hanging="360"/>
      </w:pPr>
      <w:rPr>
        <w:rFonts w:ascii="Symbol" w:hAnsi="Symbol" w:hint="default"/>
      </w:rPr>
    </w:lvl>
    <w:lvl w:ilvl="7" w:tplc="04090003" w:tentative="1">
      <w:start w:val="1"/>
      <w:numFmt w:val="bullet"/>
      <w:lvlText w:val="o"/>
      <w:lvlJc w:val="left"/>
      <w:pPr>
        <w:ind w:left="5925" w:hanging="360"/>
      </w:pPr>
      <w:rPr>
        <w:rFonts w:ascii="Courier New" w:hAnsi="Courier New" w:cs="Courier New" w:hint="default"/>
      </w:rPr>
    </w:lvl>
    <w:lvl w:ilvl="8" w:tplc="04090005" w:tentative="1">
      <w:start w:val="1"/>
      <w:numFmt w:val="bullet"/>
      <w:lvlText w:val=""/>
      <w:lvlJc w:val="left"/>
      <w:pPr>
        <w:ind w:left="6645"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2680"/>
    <w:rsid w:val="00000947"/>
    <w:rsid w:val="00006318"/>
    <w:rsid w:val="00010BE9"/>
    <w:rsid w:val="00013465"/>
    <w:rsid w:val="00013DF6"/>
    <w:rsid w:val="0001759A"/>
    <w:rsid w:val="000210D4"/>
    <w:rsid w:val="00025DB6"/>
    <w:rsid w:val="00041CB0"/>
    <w:rsid w:val="00044DFE"/>
    <w:rsid w:val="000506B9"/>
    <w:rsid w:val="00051585"/>
    <w:rsid w:val="000635ED"/>
    <w:rsid w:val="00087989"/>
    <w:rsid w:val="000A75BF"/>
    <w:rsid w:val="000C194C"/>
    <w:rsid w:val="000C239D"/>
    <w:rsid w:val="000C4AE2"/>
    <w:rsid w:val="000C7810"/>
    <w:rsid w:val="000D2A70"/>
    <w:rsid w:val="000D2BFA"/>
    <w:rsid w:val="000D46E8"/>
    <w:rsid w:val="000D65DE"/>
    <w:rsid w:val="000E25B9"/>
    <w:rsid w:val="000E419E"/>
    <w:rsid w:val="000E6E66"/>
    <w:rsid w:val="001017B6"/>
    <w:rsid w:val="00103246"/>
    <w:rsid w:val="0010433D"/>
    <w:rsid w:val="00106370"/>
    <w:rsid w:val="00106771"/>
    <w:rsid w:val="0011076B"/>
    <w:rsid w:val="00114AEB"/>
    <w:rsid w:val="00114EC6"/>
    <w:rsid w:val="0011553C"/>
    <w:rsid w:val="00117ED7"/>
    <w:rsid w:val="00125E1A"/>
    <w:rsid w:val="001317BD"/>
    <w:rsid w:val="001352F3"/>
    <w:rsid w:val="00136187"/>
    <w:rsid w:val="001365DB"/>
    <w:rsid w:val="00142692"/>
    <w:rsid w:val="0014289F"/>
    <w:rsid w:val="00144AE2"/>
    <w:rsid w:val="00163B21"/>
    <w:rsid w:val="0016464A"/>
    <w:rsid w:val="00164969"/>
    <w:rsid w:val="001664B6"/>
    <w:rsid w:val="00166840"/>
    <w:rsid w:val="00170F24"/>
    <w:rsid w:val="00171A4B"/>
    <w:rsid w:val="00182AC3"/>
    <w:rsid w:val="00183084"/>
    <w:rsid w:val="00190043"/>
    <w:rsid w:val="00192413"/>
    <w:rsid w:val="00197B21"/>
    <w:rsid w:val="00197E4A"/>
    <w:rsid w:val="001B135B"/>
    <w:rsid w:val="001B1362"/>
    <w:rsid w:val="001B26B0"/>
    <w:rsid w:val="001B61D4"/>
    <w:rsid w:val="001B71D2"/>
    <w:rsid w:val="001D2175"/>
    <w:rsid w:val="001D374D"/>
    <w:rsid w:val="001F1330"/>
    <w:rsid w:val="001F54CB"/>
    <w:rsid w:val="00204709"/>
    <w:rsid w:val="0020793D"/>
    <w:rsid w:val="002141CD"/>
    <w:rsid w:val="00214FFD"/>
    <w:rsid w:val="00216622"/>
    <w:rsid w:val="00234FF1"/>
    <w:rsid w:val="0024150E"/>
    <w:rsid w:val="00241974"/>
    <w:rsid w:val="002437AE"/>
    <w:rsid w:val="00244533"/>
    <w:rsid w:val="00261545"/>
    <w:rsid w:val="00261D9C"/>
    <w:rsid w:val="0028507C"/>
    <w:rsid w:val="00285E5D"/>
    <w:rsid w:val="00290EA1"/>
    <w:rsid w:val="0029485B"/>
    <w:rsid w:val="002A33F4"/>
    <w:rsid w:val="002B446D"/>
    <w:rsid w:val="002B6B03"/>
    <w:rsid w:val="002C2283"/>
    <w:rsid w:val="002D10A7"/>
    <w:rsid w:val="002D402D"/>
    <w:rsid w:val="002D5882"/>
    <w:rsid w:val="00304DD6"/>
    <w:rsid w:val="003127FF"/>
    <w:rsid w:val="003206A8"/>
    <w:rsid w:val="003379D2"/>
    <w:rsid w:val="003458DB"/>
    <w:rsid w:val="00345C22"/>
    <w:rsid w:val="00347753"/>
    <w:rsid w:val="003576F5"/>
    <w:rsid w:val="00357997"/>
    <w:rsid w:val="00360F22"/>
    <w:rsid w:val="003640F5"/>
    <w:rsid w:val="00370405"/>
    <w:rsid w:val="003718B0"/>
    <w:rsid w:val="003819CC"/>
    <w:rsid w:val="00396336"/>
    <w:rsid w:val="00397293"/>
    <w:rsid w:val="003A3A42"/>
    <w:rsid w:val="003B29F8"/>
    <w:rsid w:val="003C668D"/>
    <w:rsid w:val="003D1227"/>
    <w:rsid w:val="003D1B15"/>
    <w:rsid w:val="003F0ABC"/>
    <w:rsid w:val="003F11D9"/>
    <w:rsid w:val="003F1254"/>
    <w:rsid w:val="003F3A50"/>
    <w:rsid w:val="003F4A7A"/>
    <w:rsid w:val="003F6465"/>
    <w:rsid w:val="00401D93"/>
    <w:rsid w:val="0040333C"/>
    <w:rsid w:val="0040380C"/>
    <w:rsid w:val="00405E19"/>
    <w:rsid w:val="00406619"/>
    <w:rsid w:val="00416201"/>
    <w:rsid w:val="00420DF7"/>
    <w:rsid w:val="004247B0"/>
    <w:rsid w:val="0043085F"/>
    <w:rsid w:val="004313E6"/>
    <w:rsid w:val="00446F94"/>
    <w:rsid w:val="004523A4"/>
    <w:rsid w:val="004526C3"/>
    <w:rsid w:val="00453B54"/>
    <w:rsid w:val="00455215"/>
    <w:rsid w:val="00460380"/>
    <w:rsid w:val="00461B90"/>
    <w:rsid w:val="00463388"/>
    <w:rsid w:val="00465BE9"/>
    <w:rsid w:val="00466D57"/>
    <w:rsid w:val="00480292"/>
    <w:rsid w:val="00486330"/>
    <w:rsid w:val="00490FAE"/>
    <w:rsid w:val="0049531F"/>
    <w:rsid w:val="004A38AA"/>
    <w:rsid w:val="004C0EA1"/>
    <w:rsid w:val="004C2EFF"/>
    <w:rsid w:val="004C3755"/>
    <w:rsid w:val="004D2025"/>
    <w:rsid w:val="004E5664"/>
    <w:rsid w:val="004E666B"/>
    <w:rsid w:val="004F23EA"/>
    <w:rsid w:val="005002B2"/>
    <w:rsid w:val="00500529"/>
    <w:rsid w:val="00515DA5"/>
    <w:rsid w:val="00525F95"/>
    <w:rsid w:val="005337C0"/>
    <w:rsid w:val="00536FA6"/>
    <w:rsid w:val="00541CD1"/>
    <w:rsid w:val="005453C7"/>
    <w:rsid w:val="00565C55"/>
    <w:rsid w:val="00585DE0"/>
    <w:rsid w:val="005A14A8"/>
    <w:rsid w:val="005A5715"/>
    <w:rsid w:val="005B3F9A"/>
    <w:rsid w:val="005C435B"/>
    <w:rsid w:val="005D074A"/>
    <w:rsid w:val="005E0F33"/>
    <w:rsid w:val="005E254E"/>
    <w:rsid w:val="005F268C"/>
    <w:rsid w:val="00603BDD"/>
    <w:rsid w:val="00603E28"/>
    <w:rsid w:val="00620455"/>
    <w:rsid w:val="00641FD8"/>
    <w:rsid w:val="00651A8E"/>
    <w:rsid w:val="00654E8C"/>
    <w:rsid w:val="0065564A"/>
    <w:rsid w:val="0065622D"/>
    <w:rsid w:val="00657BFF"/>
    <w:rsid w:val="00670BEA"/>
    <w:rsid w:val="00671C07"/>
    <w:rsid w:val="00672C47"/>
    <w:rsid w:val="00677219"/>
    <w:rsid w:val="00680D72"/>
    <w:rsid w:val="00682482"/>
    <w:rsid w:val="006A20AA"/>
    <w:rsid w:val="006A47C1"/>
    <w:rsid w:val="006A7651"/>
    <w:rsid w:val="006B060D"/>
    <w:rsid w:val="006B24FC"/>
    <w:rsid w:val="006C07FD"/>
    <w:rsid w:val="006C3009"/>
    <w:rsid w:val="006C5779"/>
    <w:rsid w:val="006C5B81"/>
    <w:rsid w:val="006D56B9"/>
    <w:rsid w:val="006E2572"/>
    <w:rsid w:val="006F284B"/>
    <w:rsid w:val="006F51FC"/>
    <w:rsid w:val="007000BA"/>
    <w:rsid w:val="00714539"/>
    <w:rsid w:val="00714EA8"/>
    <w:rsid w:val="0071521E"/>
    <w:rsid w:val="00727D7E"/>
    <w:rsid w:val="00731799"/>
    <w:rsid w:val="007320CB"/>
    <w:rsid w:val="00734125"/>
    <w:rsid w:val="007343ED"/>
    <w:rsid w:val="00750C35"/>
    <w:rsid w:val="007562FD"/>
    <w:rsid w:val="00761086"/>
    <w:rsid w:val="007668B5"/>
    <w:rsid w:val="007705F3"/>
    <w:rsid w:val="00770F8F"/>
    <w:rsid w:val="007746E6"/>
    <w:rsid w:val="00776656"/>
    <w:rsid w:val="00780675"/>
    <w:rsid w:val="00783235"/>
    <w:rsid w:val="007863E5"/>
    <w:rsid w:val="00793AF6"/>
    <w:rsid w:val="007A5C60"/>
    <w:rsid w:val="007C2040"/>
    <w:rsid w:val="007C3771"/>
    <w:rsid w:val="007C4241"/>
    <w:rsid w:val="007D37F1"/>
    <w:rsid w:val="007D39FB"/>
    <w:rsid w:val="007F3850"/>
    <w:rsid w:val="007F7FFC"/>
    <w:rsid w:val="00801145"/>
    <w:rsid w:val="00810E28"/>
    <w:rsid w:val="008121F2"/>
    <w:rsid w:val="00813044"/>
    <w:rsid w:val="00813777"/>
    <w:rsid w:val="0081704D"/>
    <w:rsid w:val="0081725D"/>
    <w:rsid w:val="00830726"/>
    <w:rsid w:val="0083287F"/>
    <w:rsid w:val="00835C4E"/>
    <w:rsid w:val="00835D00"/>
    <w:rsid w:val="00841F06"/>
    <w:rsid w:val="00842A96"/>
    <w:rsid w:val="00844BB9"/>
    <w:rsid w:val="008479FD"/>
    <w:rsid w:val="0085052D"/>
    <w:rsid w:val="00855184"/>
    <w:rsid w:val="00855902"/>
    <w:rsid w:val="00856415"/>
    <w:rsid w:val="00857AB2"/>
    <w:rsid w:val="00880FE6"/>
    <w:rsid w:val="00881249"/>
    <w:rsid w:val="008B5855"/>
    <w:rsid w:val="008B6D7E"/>
    <w:rsid w:val="008B7817"/>
    <w:rsid w:val="008B7A5B"/>
    <w:rsid w:val="008C5FED"/>
    <w:rsid w:val="008D5D37"/>
    <w:rsid w:val="008D7683"/>
    <w:rsid w:val="008E0E8B"/>
    <w:rsid w:val="008E0FA3"/>
    <w:rsid w:val="008E1C6A"/>
    <w:rsid w:val="008E4036"/>
    <w:rsid w:val="008E483D"/>
    <w:rsid w:val="00900CB9"/>
    <w:rsid w:val="00902F42"/>
    <w:rsid w:val="00911A1B"/>
    <w:rsid w:val="00921A83"/>
    <w:rsid w:val="00921F24"/>
    <w:rsid w:val="00923AD8"/>
    <w:rsid w:val="0092473A"/>
    <w:rsid w:val="00931638"/>
    <w:rsid w:val="00941A92"/>
    <w:rsid w:val="009438EA"/>
    <w:rsid w:val="0095151B"/>
    <w:rsid w:val="00953408"/>
    <w:rsid w:val="0096375F"/>
    <w:rsid w:val="0097015C"/>
    <w:rsid w:val="00970ADF"/>
    <w:rsid w:val="00976B6B"/>
    <w:rsid w:val="00982E6C"/>
    <w:rsid w:val="00990DD2"/>
    <w:rsid w:val="00996707"/>
    <w:rsid w:val="009A31F2"/>
    <w:rsid w:val="009A3551"/>
    <w:rsid w:val="009A7CC3"/>
    <w:rsid w:val="009B06FC"/>
    <w:rsid w:val="009B6B8D"/>
    <w:rsid w:val="009C53D9"/>
    <w:rsid w:val="009C5CFB"/>
    <w:rsid w:val="009C5ED9"/>
    <w:rsid w:val="009C6D63"/>
    <w:rsid w:val="009D0791"/>
    <w:rsid w:val="009E0AB3"/>
    <w:rsid w:val="009E1598"/>
    <w:rsid w:val="009F594E"/>
    <w:rsid w:val="009F7131"/>
    <w:rsid w:val="00A002E8"/>
    <w:rsid w:val="00A12680"/>
    <w:rsid w:val="00A13EDF"/>
    <w:rsid w:val="00A2008B"/>
    <w:rsid w:val="00A22E4F"/>
    <w:rsid w:val="00A236BE"/>
    <w:rsid w:val="00A26919"/>
    <w:rsid w:val="00A31FFB"/>
    <w:rsid w:val="00A32DAF"/>
    <w:rsid w:val="00A364E8"/>
    <w:rsid w:val="00A417BF"/>
    <w:rsid w:val="00A44C7E"/>
    <w:rsid w:val="00A54DAA"/>
    <w:rsid w:val="00A67929"/>
    <w:rsid w:val="00A6798C"/>
    <w:rsid w:val="00A70045"/>
    <w:rsid w:val="00A84126"/>
    <w:rsid w:val="00A84F86"/>
    <w:rsid w:val="00A86EBF"/>
    <w:rsid w:val="00AA2A18"/>
    <w:rsid w:val="00AA662C"/>
    <w:rsid w:val="00AB1018"/>
    <w:rsid w:val="00AB3A7E"/>
    <w:rsid w:val="00AC43C8"/>
    <w:rsid w:val="00AC7B34"/>
    <w:rsid w:val="00AD1CE6"/>
    <w:rsid w:val="00AD6070"/>
    <w:rsid w:val="00AD6771"/>
    <w:rsid w:val="00AF33C0"/>
    <w:rsid w:val="00B0032B"/>
    <w:rsid w:val="00B00D7F"/>
    <w:rsid w:val="00B17859"/>
    <w:rsid w:val="00B22C7F"/>
    <w:rsid w:val="00B23D27"/>
    <w:rsid w:val="00B24078"/>
    <w:rsid w:val="00B34DB4"/>
    <w:rsid w:val="00B45B54"/>
    <w:rsid w:val="00B45E27"/>
    <w:rsid w:val="00B525FC"/>
    <w:rsid w:val="00B56502"/>
    <w:rsid w:val="00B57171"/>
    <w:rsid w:val="00B64AED"/>
    <w:rsid w:val="00B700FB"/>
    <w:rsid w:val="00B761DE"/>
    <w:rsid w:val="00B77772"/>
    <w:rsid w:val="00B82778"/>
    <w:rsid w:val="00B8456A"/>
    <w:rsid w:val="00B972D7"/>
    <w:rsid w:val="00BA772A"/>
    <w:rsid w:val="00BD6138"/>
    <w:rsid w:val="00BE0DED"/>
    <w:rsid w:val="00BE2542"/>
    <w:rsid w:val="00C0467E"/>
    <w:rsid w:val="00C10AB4"/>
    <w:rsid w:val="00C12D06"/>
    <w:rsid w:val="00C13D50"/>
    <w:rsid w:val="00C15F78"/>
    <w:rsid w:val="00C16390"/>
    <w:rsid w:val="00C2388A"/>
    <w:rsid w:val="00C3116F"/>
    <w:rsid w:val="00C32238"/>
    <w:rsid w:val="00C526E6"/>
    <w:rsid w:val="00C54A4D"/>
    <w:rsid w:val="00C641F0"/>
    <w:rsid w:val="00C705C1"/>
    <w:rsid w:val="00C809EA"/>
    <w:rsid w:val="00C81213"/>
    <w:rsid w:val="00C83337"/>
    <w:rsid w:val="00C94D23"/>
    <w:rsid w:val="00CA408B"/>
    <w:rsid w:val="00CA6007"/>
    <w:rsid w:val="00CA7024"/>
    <w:rsid w:val="00CB3AFE"/>
    <w:rsid w:val="00CB726F"/>
    <w:rsid w:val="00CB749B"/>
    <w:rsid w:val="00CC6A6B"/>
    <w:rsid w:val="00CD21B7"/>
    <w:rsid w:val="00CD516F"/>
    <w:rsid w:val="00CE254A"/>
    <w:rsid w:val="00CE527D"/>
    <w:rsid w:val="00CE57D5"/>
    <w:rsid w:val="00CE6F8E"/>
    <w:rsid w:val="00D00B63"/>
    <w:rsid w:val="00D0236F"/>
    <w:rsid w:val="00D107DA"/>
    <w:rsid w:val="00D1324C"/>
    <w:rsid w:val="00D14034"/>
    <w:rsid w:val="00D150D4"/>
    <w:rsid w:val="00D233F2"/>
    <w:rsid w:val="00D35DD5"/>
    <w:rsid w:val="00D45CD9"/>
    <w:rsid w:val="00D51A78"/>
    <w:rsid w:val="00D520FD"/>
    <w:rsid w:val="00D53309"/>
    <w:rsid w:val="00D575A5"/>
    <w:rsid w:val="00D604C3"/>
    <w:rsid w:val="00D73568"/>
    <w:rsid w:val="00D75C68"/>
    <w:rsid w:val="00D76DD9"/>
    <w:rsid w:val="00D76E27"/>
    <w:rsid w:val="00D8251E"/>
    <w:rsid w:val="00D837C3"/>
    <w:rsid w:val="00D837CD"/>
    <w:rsid w:val="00D840EC"/>
    <w:rsid w:val="00D8514A"/>
    <w:rsid w:val="00D935D2"/>
    <w:rsid w:val="00DA7B28"/>
    <w:rsid w:val="00DB17C7"/>
    <w:rsid w:val="00DB21D8"/>
    <w:rsid w:val="00DC0D48"/>
    <w:rsid w:val="00DC6871"/>
    <w:rsid w:val="00DD7339"/>
    <w:rsid w:val="00DE2D12"/>
    <w:rsid w:val="00DF082B"/>
    <w:rsid w:val="00E01B06"/>
    <w:rsid w:val="00E04EF5"/>
    <w:rsid w:val="00E1240B"/>
    <w:rsid w:val="00E14574"/>
    <w:rsid w:val="00E20107"/>
    <w:rsid w:val="00E2127B"/>
    <w:rsid w:val="00E254C2"/>
    <w:rsid w:val="00E31133"/>
    <w:rsid w:val="00E32C8C"/>
    <w:rsid w:val="00E359D7"/>
    <w:rsid w:val="00E42A8C"/>
    <w:rsid w:val="00E50B58"/>
    <w:rsid w:val="00E62A83"/>
    <w:rsid w:val="00E65287"/>
    <w:rsid w:val="00E70696"/>
    <w:rsid w:val="00E73B26"/>
    <w:rsid w:val="00E84284"/>
    <w:rsid w:val="00E85F7C"/>
    <w:rsid w:val="00E86129"/>
    <w:rsid w:val="00E869D9"/>
    <w:rsid w:val="00E86FA9"/>
    <w:rsid w:val="00E95956"/>
    <w:rsid w:val="00E97040"/>
    <w:rsid w:val="00E9774F"/>
    <w:rsid w:val="00EA31F3"/>
    <w:rsid w:val="00ED337A"/>
    <w:rsid w:val="00EF0202"/>
    <w:rsid w:val="00EF03E1"/>
    <w:rsid w:val="00EF78AD"/>
    <w:rsid w:val="00EF791F"/>
    <w:rsid w:val="00F02717"/>
    <w:rsid w:val="00F065B2"/>
    <w:rsid w:val="00F1245C"/>
    <w:rsid w:val="00F15612"/>
    <w:rsid w:val="00F17D7F"/>
    <w:rsid w:val="00F24552"/>
    <w:rsid w:val="00F334F5"/>
    <w:rsid w:val="00F3397B"/>
    <w:rsid w:val="00F343C4"/>
    <w:rsid w:val="00F3604D"/>
    <w:rsid w:val="00F42512"/>
    <w:rsid w:val="00F618E8"/>
    <w:rsid w:val="00F64944"/>
    <w:rsid w:val="00F75B0F"/>
    <w:rsid w:val="00F83D2B"/>
    <w:rsid w:val="00FB220C"/>
    <w:rsid w:val="00FB3CC9"/>
    <w:rsid w:val="00FC03A1"/>
    <w:rsid w:val="00FC55DD"/>
    <w:rsid w:val="00FC6B07"/>
    <w:rsid w:val="00FC7028"/>
    <w:rsid w:val="00FC7CC6"/>
    <w:rsid w:val="00FD09E3"/>
    <w:rsid w:val="00FD7463"/>
    <w:rsid w:val="00FE4AA7"/>
    <w:rsid w:val="00FF1D6E"/>
    <w:rsid w:val="00FF736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0A3D9B2D-F54F-4869-B888-FA70E55FA4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4E666B"/>
    <w:rPr>
      <w:sz w:val="24"/>
      <w:szCs w:val="24"/>
      <w:lang w:eastAsia="de-DE"/>
    </w:rPr>
  </w:style>
  <w:style w:type="paragraph" w:styleId="berschrift1">
    <w:name w:val="heading 1"/>
    <w:basedOn w:val="Standard"/>
    <w:next w:val="Standard"/>
    <w:qFormat/>
    <w:rsid w:val="00DE2D12"/>
    <w:pPr>
      <w:keepNext/>
      <w:outlineLvl w:val="0"/>
    </w:pPr>
    <w:rPr>
      <w:rFonts w:ascii="Arial" w:hAnsi="Arial"/>
      <w:b/>
    </w:rPr>
  </w:style>
  <w:style w:type="paragraph" w:styleId="berschrift2">
    <w:name w:val="heading 2"/>
    <w:basedOn w:val="Standard"/>
    <w:next w:val="Standard"/>
    <w:qFormat/>
    <w:rsid w:val="00DE2D12"/>
    <w:pPr>
      <w:keepNext/>
      <w:tabs>
        <w:tab w:val="left" w:pos="1134"/>
      </w:tabs>
      <w:jc w:val="both"/>
      <w:outlineLvl w:val="1"/>
    </w:pPr>
    <w:rPr>
      <w:rFonts w:ascii="Arial" w:hAnsi="Arial"/>
      <w:b/>
    </w:rPr>
  </w:style>
  <w:style w:type="paragraph" w:styleId="berschrift3">
    <w:name w:val="heading 3"/>
    <w:basedOn w:val="Standard"/>
    <w:next w:val="Standard"/>
    <w:link w:val="berschrift3Zchn"/>
    <w:qFormat/>
    <w:rsid w:val="00DE2D12"/>
    <w:pPr>
      <w:keepNext/>
      <w:tabs>
        <w:tab w:val="left" w:pos="1134"/>
      </w:tabs>
      <w:spacing w:line="360" w:lineRule="atLeast"/>
      <w:outlineLvl w:val="2"/>
    </w:pPr>
    <w:rPr>
      <w:rFonts w:ascii="Arial" w:hAnsi="Arial"/>
      <w:b/>
      <w:spacing w:val="-8"/>
      <w:sz w:val="22"/>
    </w:rPr>
  </w:style>
  <w:style w:type="paragraph" w:styleId="berschrift6">
    <w:name w:val="heading 6"/>
    <w:basedOn w:val="Standard"/>
    <w:next w:val="Standard"/>
    <w:qFormat/>
    <w:rsid w:val="00DE2D12"/>
    <w:pPr>
      <w:keepNext/>
      <w:tabs>
        <w:tab w:val="left" w:pos="1134"/>
      </w:tabs>
      <w:spacing w:line="360" w:lineRule="atLeast"/>
      <w:outlineLvl w:val="5"/>
    </w:pPr>
    <w:rPr>
      <w:rFonts w:ascii="Arial" w:hAnsi="Arial"/>
      <w:b/>
      <w:sz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extkrper2">
    <w:name w:val="Body Text 2"/>
    <w:basedOn w:val="Standard"/>
    <w:rsid w:val="00DE2D12"/>
    <w:pPr>
      <w:spacing w:line="360" w:lineRule="auto"/>
      <w:jc w:val="both"/>
    </w:pPr>
    <w:rPr>
      <w:rFonts w:ascii="Arial" w:hAnsi="Arial"/>
      <w:szCs w:val="20"/>
    </w:rPr>
  </w:style>
  <w:style w:type="paragraph" w:styleId="Funotentext">
    <w:name w:val="footnote text"/>
    <w:basedOn w:val="Standard"/>
    <w:link w:val="FunotentextZchn"/>
    <w:semiHidden/>
    <w:rsid w:val="00DE2D12"/>
    <w:rPr>
      <w:rFonts w:ascii="Arial" w:hAnsi="Arial"/>
      <w:sz w:val="20"/>
      <w:szCs w:val="20"/>
    </w:rPr>
  </w:style>
  <w:style w:type="character" w:styleId="Funotenzeichen">
    <w:name w:val="footnote reference"/>
    <w:basedOn w:val="Absatz-Standardschriftart"/>
    <w:semiHidden/>
    <w:rsid w:val="00DE2D12"/>
    <w:rPr>
      <w:vertAlign w:val="superscript"/>
    </w:rPr>
  </w:style>
  <w:style w:type="character" w:styleId="Fett">
    <w:name w:val="Strong"/>
    <w:basedOn w:val="Absatz-Standardschriftart"/>
    <w:qFormat/>
    <w:rsid w:val="00DE2D12"/>
    <w:rPr>
      <w:b/>
    </w:rPr>
  </w:style>
  <w:style w:type="paragraph" w:styleId="Kopfzeile">
    <w:name w:val="header"/>
    <w:basedOn w:val="Standard"/>
    <w:link w:val="KopfzeileZchn"/>
    <w:uiPriority w:val="99"/>
    <w:rsid w:val="00DE2D12"/>
    <w:pPr>
      <w:tabs>
        <w:tab w:val="center" w:pos="4536"/>
        <w:tab w:val="right" w:pos="9072"/>
      </w:tabs>
    </w:pPr>
    <w:rPr>
      <w:rFonts w:ascii="Arial" w:hAnsi="Arial"/>
      <w:sz w:val="22"/>
    </w:rPr>
  </w:style>
  <w:style w:type="paragraph" w:styleId="Sprechblasentext">
    <w:name w:val="Balloon Text"/>
    <w:basedOn w:val="Standard"/>
    <w:semiHidden/>
    <w:rsid w:val="00835D00"/>
    <w:rPr>
      <w:rFonts w:ascii="Tahoma" w:hAnsi="Tahoma" w:cs="Tahoma"/>
      <w:sz w:val="16"/>
      <w:szCs w:val="16"/>
    </w:rPr>
  </w:style>
  <w:style w:type="paragraph" w:styleId="Textkrper">
    <w:name w:val="Body Text"/>
    <w:basedOn w:val="Standard"/>
    <w:rsid w:val="00465BE9"/>
    <w:pPr>
      <w:spacing w:after="120"/>
    </w:pPr>
  </w:style>
  <w:style w:type="paragraph" w:styleId="Fuzeile">
    <w:name w:val="footer"/>
    <w:basedOn w:val="Standard"/>
    <w:rsid w:val="008C5FED"/>
    <w:pPr>
      <w:tabs>
        <w:tab w:val="center" w:pos="4536"/>
        <w:tab w:val="right" w:pos="9072"/>
      </w:tabs>
    </w:pPr>
  </w:style>
  <w:style w:type="character" w:customStyle="1" w:styleId="KopfzeileZchn">
    <w:name w:val="Kopfzeile Zchn"/>
    <w:basedOn w:val="Absatz-Standardschriftart"/>
    <w:link w:val="Kopfzeile"/>
    <w:uiPriority w:val="99"/>
    <w:rsid w:val="00AF33C0"/>
    <w:rPr>
      <w:rFonts w:ascii="Arial" w:hAnsi="Arial"/>
      <w:sz w:val="22"/>
      <w:szCs w:val="24"/>
      <w:lang w:val="en-GB" w:eastAsia="de-DE"/>
    </w:rPr>
  </w:style>
  <w:style w:type="paragraph" w:styleId="Listenabsatz">
    <w:name w:val="List Paragraph"/>
    <w:basedOn w:val="Standard"/>
    <w:uiPriority w:val="34"/>
    <w:qFormat/>
    <w:rsid w:val="00AF33C0"/>
    <w:pPr>
      <w:ind w:left="720"/>
      <w:contextualSpacing/>
    </w:pPr>
    <w:rPr>
      <w:lang w:eastAsia="en-US"/>
    </w:rPr>
  </w:style>
  <w:style w:type="character" w:customStyle="1" w:styleId="berschrift3Zchn">
    <w:name w:val="Überschrift 3 Zchn"/>
    <w:basedOn w:val="Absatz-Standardschriftart"/>
    <w:link w:val="berschrift3"/>
    <w:rsid w:val="004E666B"/>
    <w:rPr>
      <w:rFonts w:ascii="Arial" w:hAnsi="Arial"/>
      <w:b/>
      <w:spacing w:val="-8"/>
      <w:sz w:val="22"/>
      <w:szCs w:val="24"/>
      <w:lang w:val="en-GB" w:eastAsia="de-DE"/>
    </w:rPr>
  </w:style>
  <w:style w:type="character" w:customStyle="1" w:styleId="FunotentextZchn">
    <w:name w:val="Fußnotentext Zchn"/>
    <w:basedOn w:val="Absatz-Standardschriftart"/>
    <w:link w:val="Funotentext"/>
    <w:semiHidden/>
    <w:rsid w:val="004E666B"/>
    <w:rPr>
      <w:rFonts w:ascii="Arial" w:hAnsi="Arial"/>
      <w:lang w:val="en-GB" w:eastAsia="de-DE"/>
    </w:rPr>
  </w:style>
  <w:style w:type="paragraph" w:styleId="Endnotentext">
    <w:name w:val="endnote text"/>
    <w:basedOn w:val="Standard"/>
    <w:link w:val="EndnotentextZchn"/>
    <w:semiHidden/>
    <w:unhideWhenUsed/>
    <w:rsid w:val="00E9774F"/>
    <w:rPr>
      <w:sz w:val="20"/>
      <w:szCs w:val="20"/>
    </w:rPr>
  </w:style>
  <w:style w:type="character" w:customStyle="1" w:styleId="EndnotentextZchn">
    <w:name w:val="Endnotentext Zchn"/>
    <w:basedOn w:val="Absatz-Standardschriftart"/>
    <w:link w:val="Endnotentext"/>
    <w:semiHidden/>
    <w:rsid w:val="00E9774F"/>
    <w:rPr>
      <w:lang w:val="en-GB" w:eastAsia="de-DE"/>
    </w:rPr>
  </w:style>
  <w:style w:type="character" w:styleId="Endnotenzeichen">
    <w:name w:val="endnote reference"/>
    <w:basedOn w:val="Absatz-Standardschriftart"/>
    <w:semiHidden/>
    <w:unhideWhenUsed/>
    <w:rsid w:val="00E9774F"/>
    <w:rPr>
      <w:vertAlign w:val="superscript"/>
    </w:rPr>
  </w:style>
  <w:style w:type="character" w:styleId="Kommentarzeichen">
    <w:name w:val="annotation reference"/>
    <w:basedOn w:val="Absatz-Standardschriftart"/>
    <w:semiHidden/>
    <w:unhideWhenUsed/>
    <w:rsid w:val="00EA31F3"/>
    <w:rPr>
      <w:sz w:val="16"/>
      <w:szCs w:val="16"/>
    </w:rPr>
  </w:style>
  <w:style w:type="paragraph" w:styleId="Kommentartext">
    <w:name w:val="annotation text"/>
    <w:basedOn w:val="Standard"/>
    <w:link w:val="KommentartextZchn"/>
    <w:semiHidden/>
    <w:unhideWhenUsed/>
    <w:rsid w:val="00EA31F3"/>
    <w:rPr>
      <w:sz w:val="20"/>
      <w:szCs w:val="20"/>
    </w:rPr>
  </w:style>
  <w:style w:type="character" w:customStyle="1" w:styleId="KommentartextZchn">
    <w:name w:val="Kommentartext Zchn"/>
    <w:basedOn w:val="Absatz-Standardschriftart"/>
    <w:link w:val="Kommentartext"/>
    <w:semiHidden/>
    <w:rsid w:val="00EA31F3"/>
    <w:rPr>
      <w:lang w:val="en-GB"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555961">
      <w:bodyDiv w:val="1"/>
      <w:marLeft w:val="0"/>
      <w:marRight w:val="0"/>
      <w:marTop w:val="0"/>
      <w:marBottom w:val="0"/>
      <w:divBdr>
        <w:top w:val="none" w:sz="0" w:space="0" w:color="auto"/>
        <w:left w:val="none" w:sz="0" w:space="0" w:color="auto"/>
        <w:bottom w:val="none" w:sz="0" w:space="0" w:color="auto"/>
        <w:right w:val="none" w:sz="0" w:space="0" w:color="auto"/>
      </w:divBdr>
    </w:div>
    <w:div w:id="257177931">
      <w:bodyDiv w:val="1"/>
      <w:marLeft w:val="0"/>
      <w:marRight w:val="0"/>
      <w:marTop w:val="0"/>
      <w:marBottom w:val="0"/>
      <w:divBdr>
        <w:top w:val="none" w:sz="0" w:space="0" w:color="auto"/>
        <w:left w:val="none" w:sz="0" w:space="0" w:color="auto"/>
        <w:bottom w:val="none" w:sz="0" w:space="0" w:color="auto"/>
        <w:right w:val="none" w:sz="0" w:space="0" w:color="auto"/>
      </w:divBdr>
    </w:div>
    <w:div w:id="313140447">
      <w:bodyDiv w:val="1"/>
      <w:marLeft w:val="0"/>
      <w:marRight w:val="0"/>
      <w:marTop w:val="0"/>
      <w:marBottom w:val="0"/>
      <w:divBdr>
        <w:top w:val="none" w:sz="0" w:space="0" w:color="auto"/>
        <w:left w:val="none" w:sz="0" w:space="0" w:color="auto"/>
        <w:bottom w:val="none" w:sz="0" w:space="0" w:color="auto"/>
        <w:right w:val="none" w:sz="0" w:space="0" w:color="auto"/>
      </w:divBdr>
    </w:div>
    <w:div w:id="615406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E7BFF40-B569-415E-B4D4-D69AA30ACD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681</Words>
  <Characters>3605</Characters>
  <Application>Microsoft Office Word</Application>
  <DocSecurity>0</DocSecurity>
  <Lines>30</Lines>
  <Paragraphs>8</Paragraphs>
  <ScaleCrop>false</ScaleCrop>
  <HeadingPairs>
    <vt:vector size="2" baseType="variant">
      <vt:variant>
        <vt:lpstr>Titel</vt:lpstr>
      </vt:variant>
      <vt:variant>
        <vt:i4>1</vt:i4>
      </vt:variant>
    </vt:vector>
  </HeadingPairs>
  <TitlesOfParts>
    <vt:vector size="1" baseType="lpstr">
      <vt:lpstr>KSB</vt:lpstr>
    </vt:vector>
  </TitlesOfParts>
  <Company>KSB Group</Company>
  <LinksUpToDate>false</LinksUpToDate>
  <CharactersWithSpaces>4278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KSB</dc:title>
  <dc:creator>UB</dc:creator>
  <cp:lastModifiedBy>Steffel, Lena</cp:lastModifiedBy>
  <cp:revision>2</cp:revision>
  <cp:lastPrinted>2017-11-03T15:56:00Z</cp:lastPrinted>
  <dcterms:created xsi:type="dcterms:W3CDTF">2021-03-09T13:11:00Z</dcterms:created>
  <dcterms:modified xsi:type="dcterms:W3CDTF">2021-03-09T13:11:00Z</dcterms:modified>
</cp:coreProperties>
</file>