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4E70" w:rsidRPr="0012277F" w:rsidRDefault="00B24E70" w:rsidP="00B24E70">
      <w:pPr>
        <w:pStyle w:val="berschrift1"/>
        <w:spacing w:line="324" w:lineRule="auto"/>
        <w:rPr>
          <w:rFonts w:cs="Arial"/>
        </w:rPr>
      </w:pPr>
      <w:bookmarkStart w:id="0" w:name="_GoBack"/>
      <w:bookmarkEnd w:id="0"/>
    </w:p>
    <w:p w:rsidR="00B24E70" w:rsidRPr="0012277F" w:rsidRDefault="00B92F00" w:rsidP="00921EB9">
      <w:pPr>
        <w:pStyle w:val="berschrift1"/>
        <w:spacing w:line="324" w:lineRule="auto"/>
        <w:rPr>
          <w:rFonts w:cs="Arial"/>
        </w:rPr>
      </w:pPr>
      <w:r w:rsidRPr="0012277F">
        <w:t>Preliminary report on financial year 2014</w:t>
      </w:r>
    </w:p>
    <w:p w:rsidR="00B24E70" w:rsidRPr="0012277F" w:rsidRDefault="00B24E70" w:rsidP="00B24E70">
      <w:pPr>
        <w:pStyle w:val="berschrift1"/>
        <w:spacing w:line="324" w:lineRule="auto"/>
        <w:rPr>
          <w:rFonts w:cs="Arial"/>
          <w:sz w:val="24"/>
          <w:szCs w:val="24"/>
        </w:rPr>
      </w:pPr>
    </w:p>
    <w:p w:rsidR="00B24E70" w:rsidRPr="0012277F" w:rsidRDefault="00053F9F" w:rsidP="00053F9F">
      <w:pPr>
        <w:pStyle w:val="berschrift1"/>
        <w:spacing w:line="324" w:lineRule="auto"/>
        <w:rPr>
          <w:rFonts w:cs="Arial"/>
          <w:sz w:val="36"/>
          <w:szCs w:val="36"/>
        </w:rPr>
      </w:pPr>
      <w:r w:rsidRPr="0012277F">
        <w:rPr>
          <w:sz w:val="36"/>
        </w:rPr>
        <w:t>Marked growth in orders at KSB</w:t>
      </w:r>
    </w:p>
    <w:p w:rsidR="00B24E70" w:rsidRPr="0012277F" w:rsidRDefault="00B24E70" w:rsidP="00B24E70">
      <w:pPr>
        <w:rPr>
          <w:rFonts w:cs="Arial"/>
        </w:rPr>
      </w:pPr>
    </w:p>
    <w:p w:rsidR="00B24E70" w:rsidRPr="0012277F" w:rsidRDefault="00B24E70" w:rsidP="00B24E70">
      <w:pPr>
        <w:rPr>
          <w:rFonts w:cs="Arial"/>
        </w:rPr>
      </w:pPr>
    </w:p>
    <w:p w:rsidR="00B24E70" w:rsidRPr="0012277F" w:rsidRDefault="00B24E70" w:rsidP="00B24E70">
      <w:pPr>
        <w:pStyle w:val="berschrift1"/>
        <w:spacing w:line="324" w:lineRule="auto"/>
        <w:rPr>
          <w:rFonts w:cs="Arial"/>
          <w:sz w:val="24"/>
        </w:rPr>
      </w:pPr>
      <w:r w:rsidRPr="0012277F">
        <w:rPr>
          <w:sz w:val="24"/>
        </w:rPr>
        <w:t>Economic environment</w:t>
      </w:r>
    </w:p>
    <w:p w:rsidR="00114B40" w:rsidRPr="0012277F" w:rsidRDefault="00114B40" w:rsidP="00114B40">
      <w:pPr>
        <w:rPr>
          <w:rFonts w:cs="Arial"/>
        </w:rPr>
      </w:pPr>
    </w:p>
    <w:p w:rsidR="00053F9F" w:rsidRPr="0012277F" w:rsidRDefault="00E51F8D" w:rsidP="00053F9F">
      <w:pPr>
        <w:spacing w:line="324" w:lineRule="auto"/>
        <w:jc w:val="both"/>
        <w:rPr>
          <w:rFonts w:cs="Arial"/>
        </w:rPr>
      </w:pPr>
      <w:r w:rsidRPr="0012277F">
        <w:t xml:space="preserve">According to preliminary data from the German Engineering Federation (VDMA), in 2014, global mechanical engineering sales revenue grew by 5 %, outpacing the growth in the world economy as a whole (+ 3.3 %). In contrast, growth within the pump and valve industry was significantly more subdued. In Germany, the sales revenue volumes of liquid pump and industrial valve manufacturers were lower than in the previous year. </w:t>
      </w:r>
    </w:p>
    <w:p w:rsidR="00053F9F" w:rsidRPr="0012277F" w:rsidRDefault="00053F9F" w:rsidP="00053F9F">
      <w:pPr>
        <w:spacing w:line="324" w:lineRule="auto"/>
        <w:jc w:val="both"/>
        <w:rPr>
          <w:rFonts w:cs="Arial"/>
        </w:rPr>
      </w:pPr>
    </w:p>
    <w:p w:rsidR="00B353F2" w:rsidRPr="0012277F" w:rsidRDefault="00053F9F" w:rsidP="00A05986">
      <w:pPr>
        <w:spacing w:line="324" w:lineRule="auto"/>
        <w:jc w:val="both"/>
        <w:rPr>
          <w:rFonts w:cs="Arial"/>
        </w:rPr>
      </w:pPr>
      <w:r w:rsidRPr="0012277F">
        <w:t xml:space="preserve">In some </w:t>
      </w:r>
      <w:r w:rsidR="006C59AA">
        <w:t>R</w:t>
      </w:r>
      <w:r w:rsidRPr="0012277F">
        <w:t xml:space="preserve">egions there was positive business momentum from a revival in project activity in the energy industry and in the water and waste water sector. The equipment needs of the liquefied gas industry and of the tankers needed for transport resulted in an increased demand for special valves. </w:t>
      </w:r>
    </w:p>
    <w:p w:rsidR="00114B40" w:rsidRPr="0012277F" w:rsidRDefault="00114B40" w:rsidP="00114B40">
      <w:pPr>
        <w:spacing w:line="324" w:lineRule="auto"/>
        <w:rPr>
          <w:rFonts w:cs="Arial"/>
        </w:rPr>
      </w:pPr>
    </w:p>
    <w:p w:rsidR="00B24E70" w:rsidRPr="0012277F" w:rsidRDefault="00B24E70" w:rsidP="00114B40">
      <w:pPr>
        <w:pStyle w:val="berschrift2"/>
        <w:spacing w:line="324" w:lineRule="auto"/>
        <w:rPr>
          <w:rFonts w:cs="Arial"/>
          <w:sz w:val="18"/>
          <w:szCs w:val="18"/>
        </w:rPr>
      </w:pPr>
      <w:r w:rsidRPr="0012277F">
        <w:t xml:space="preserve">Key Group figures as per 31 December 2014 </w:t>
      </w:r>
      <w:r w:rsidRPr="0012277F">
        <w:rPr>
          <w:sz w:val="18"/>
        </w:rPr>
        <w:t>(provisional figures)</w:t>
      </w:r>
    </w:p>
    <w:p w:rsidR="00A14ECA" w:rsidRPr="0012277F" w:rsidRDefault="00A14ECA" w:rsidP="00A14ECA">
      <w:pPr>
        <w:rPr>
          <w:rFonts w:cs="Arial"/>
        </w:rPr>
      </w:pPr>
    </w:p>
    <w:tbl>
      <w:tblPr>
        <w:tblW w:w="0" w:type="auto"/>
        <w:tblInd w:w="7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1" w:type="dxa"/>
          <w:right w:w="71" w:type="dxa"/>
        </w:tblCellMar>
        <w:tblLook w:val="04A0" w:firstRow="1" w:lastRow="0" w:firstColumn="1" w:lastColumn="0" w:noHBand="0" w:noVBand="1"/>
      </w:tblPr>
      <w:tblGrid>
        <w:gridCol w:w="2160"/>
        <w:gridCol w:w="1134"/>
        <w:gridCol w:w="1985"/>
        <w:gridCol w:w="1985"/>
        <w:gridCol w:w="1701"/>
      </w:tblGrid>
      <w:tr w:rsidR="00B24E70" w:rsidRPr="0012277F" w:rsidTr="0012277F">
        <w:tc>
          <w:tcPr>
            <w:tcW w:w="2160" w:type="dxa"/>
            <w:tcBorders>
              <w:top w:val="single" w:sz="12" w:space="0" w:color="auto"/>
              <w:left w:val="single" w:sz="12" w:space="0" w:color="auto"/>
              <w:bottom w:val="single" w:sz="6" w:space="0" w:color="auto"/>
              <w:right w:val="single" w:sz="6" w:space="0" w:color="auto"/>
            </w:tcBorders>
            <w:hideMark/>
          </w:tcPr>
          <w:p w:rsidR="00B24E70" w:rsidRPr="0012277F" w:rsidRDefault="00B24E70" w:rsidP="00B24E70">
            <w:pPr>
              <w:pStyle w:val="berschrift3"/>
              <w:spacing w:line="324" w:lineRule="auto"/>
              <w:rPr>
                <w:rFonts w:eastAsiaTheme="minorEastAsia" w:cs="Arial"/>
              </w:rPr>
            </w:pPr>
            <w:bookmarkStart w:id="1" w:name="OLE_LINK3"/>
            <w:r w:rsidRPr="0012277F">
              <w:t>KSB Group</w:t>
            </w:r>
          </w:p>
        </w:tc>
        <w:tc>
          <w:tcPr>
            <w:tcW w:w="1134" w:type="dxa"/>
            <w:tcBorders>
              <w:top w:val="single" w:sz="12" w:space="0" w:color="auto"/>
              <w:left w:val="single" w:sz="6" w:space="0" w:color="auto"/>
              <w:bottom w:val="single" w:sz="6" w:space="0" w:color="auto"/>
              <w:right w:val="single" w:sz="6" w:space="0" w:color="auto"/>
            </w:tcBorders>
          </w:tcPr>
          <w:p w:rsidR="00B24E70" w:rsidRPr="0012277F" w:rsidRDefault="00B24E70" w:rsidP="00B24E70">
            <w:pPr>
              <w:spacing w:line="324" w:lineRule="auto"/>
              <w:rPr>
                <w:rFonts w:cs="Arial"/>
              </w:rPr>
            </w:pPr>
          </w:p>
        </w:tc>
        <w:tc>
          <w:tcPr>
            <w:tcW w:w="1985" w:type="dxa"/>
            <w:tcBorders>
              <w:top w:val="single" w:sz="12" w:space="0" w:color="auto"/>
              <w:left w:val="single" w:sz="6" w:space="0" w:color="auto"/>
              <w:bottom w:val="single" w:sz="6" w:space="0" w:color="auto"/>
              <w:right w:val="single" w:sz="6" w:space="0" w:color="auto"/>
            </w:tcBorders>
            <w:hideMark/>
          </w:tcPr>
          <w:p w:rsidR="00B24E70" w:rsidRPr="0012277F" w:rsidRDefault="00B24E70" w:rsidP="003348DB">
            <w:pPr>
              <w:spacing w:line="324" w:lineRule="auto"/>
              <w:rPr>
                <w:rFonts w:cs="Arial"/>
              </w:rPr>
            </w:pPr>
            <w:r w:rsidRPr="0012277F">
              <w:t>01-12/2014</w:t>
            </w:r>
          </w:p>
        </w:tc>
        <w:tc>
          <w:tcPr>
            <w:tcW w:w="1985" w:type="dxa"/>
            <w:tcBorders>
              <w:top w:val="single" w:sz="12" w:space="0" w:color="auto"/>
              <w:left w:val="single" w:sz="6" w:space="0" w:color="auto"/>
              <w:bottom w:val="single" w:sz="6" w:space="0" w:color="auto"/>
              <w:right w:val="single" w:sz="6" w:space="0" w:color="auto"/>
            </w:tcBorders>
            <w:hideMark/>
          </w:tcPr>
          <w:p w:rsidR="00B24E70" w:rsidRPr="0012277F" w:rsidRDefault="00B24E70" w:rsidP="003348DB">
            <w:pPr>
              <w:spacing w:line="324" w:lineRule="auto"/>
              <w:rPr>
                <w:rFonts w:cs="Arial"/>
              </w:rPr>
            </w:pPr>
            <w:r w:rsidRPr="0012277F">
              <w:t>01-12/2013</w:t>
            </w:r>
          </w:p>
        </w:tc>
        <w:tc>
          <w:tcPr>
            <w:tcW w:w="1701" w:type="dxa"/>
            <w:tcBorders>
              <w:top w:val="single" w:sz="12" w:space="0" w:color="auto"/>
              <w:left w:val="single" w:sz="6" w:space="0" w:color="auto"/>
              <w:bottom w:val="single" w:sz="6" w:space="0" w:color="auto"/>
              <w:right w:val="single" w:sz="12" w:space="0" w:color="auto"/>
            </w:tcBorders>
            <w:hideMark/>
          </w:tcPr>
          <w:p w:rsidR="00B24E70" w:rsidRPr="0012277F" w:rsidRDefault="00B24E70" w:rsidP="00B24E70">
            <w:pPr>
              <w:pStyle w:val="Kopfzeile"/>
              <w:spacing w:line="324" w:lineRule="auto"/>
              <w:rPr>
                <w:rFonts w:cs="Arial"/>
                <w:sz w:val="24"/>
              </w:rPr>
            </w:pPr>
            <w:r w:rsidRPr="0012277F">
              <w:rPr>
                <w:sz w:val="24"/>
              </w:rPr>
              <w:t>Change</w:t>
            </w:r>
          </w:p>
        </w:tc>
      </w:tr>
      <w:tr w:rsidR="00B15F05" w:rsidRPr="0012277F" w:rsidTr="0012277F">
        <w:tc>
          <w:tcPr>
            <w:tcW w:w="2160" w:type="dxa"/>
            <w:tcBorders>
              <w:top w:val="single" w:sz="6" w:space="0" w:color="auto"/>
              <w:left w:val="single" w:sz="12" w:space="0" w:color="auto"/>
              <w:bottom w:val="single" w:sz="6" w:space="0" w:color="auto"/>
              <w:right w:val="single" w:sz="6" w:space="0" w:color="auto"/>
            </w:tcBorders>
            <w:hideMark/>
          </w:tcPr>
          <w:p w:rsidR="00B15F05" w:rsidRPr="0012277F" w:rsidRDefault="00B15F05" w:rsidP="00B24E70">
            <w:pPr>
              <w:spacing w:line="324" w:lineRule="auto"/>
              <w:rPr>
                <w:rFonts w:cs="Arial"/>
              </w:rPr>
            </w:pPr>
            <w:r w:rsidRPr="0012277F">
              <w:t>Order intake</w:t>
            </w:r>
          </w:p>
        </w:tc>
        <w:tc>
          <w:tcPr>
            <w:tcW w:w="1134" w:type="dxa"/>
            <w:tcBorders>
              <w:top w:val="single" w:sz="6" w:space="0" w:color="auto"/>
              <w:left w:val="single" w:sz="6" w:space="0" w:color="auto"/>
              <w:bottom w:val="single" w:sz="6" w:space="0" w:color="auto"/>
              <w:right w:val="single" w:sz="6" w:space="0" w:color="auto"/>
            </w:tcBorders>
            <w:hideMark/>
          </w:tcPr>
          <w:p w:rsidR="00B15F05" w:rsidRPr="0012277F" w:rsidRDefault="00B15F05" w:rsidP="00B24E70">
            <w:pPr>
              <w:spacing w:line="324" w:lineRule="auto"/>
              <w:rPr>
                <w:rFonts w:cs="Arial"/>
              </w:rPr>
            </w:pPr>
            <w:r w:rsidRPr="0012277F">
              <w:t>€ million</w:t>
            </w:r>
          </w:p>
        </w:tc>
        <w:tc>
          <w:tcPr>
            <w:tcW w:w="1985" w:type="dxa"/>
            <w:tcBorders>
              <w:top w:val="single" w:sz="6" w:space="0" w:color="auto"/>
              <w:left w:val="single" w:sz="6" w:space="0" w:color="auto"/>
              <w:bottom w:val="single" w:sz="6" w:space="0" w:color="auto"/>
              <w:right w:val="single" w:sz="6" w:space="0" w:color="auto"/>
            </w:tcBorders>
            <w:hideMark/>
          </w:tcPr>
          <w:p w:rsidR="00B15F05" w:rsidRPr="0012277F" w:rsidRDefault="00444D93" w:rsidP="00414D17">
            <w:pPr>
              <w:spacing w:line="324" w:lineRule="auto"/>
              <w:rPr>
                <w:rFonts w:cs="Arial"/>
              </w:rPr>
            </w:pPr>
            <w:r w:rsidRPr="0012277F">
              <w:t>2,322.6</w:t>
            </w:r>
          </w:p>
        </w:tc>
        <w:tc>
          <w:tcPr>
            <w:tcW w:w="1985" w:type="dxa"/>
            <w:tcBorders>
              <w:top w:val="single" w:sz="6" w:space="0" w:color="auto"/>
              <w:left w:val="single" w:sz="6" w:space="0" w:color="auto"/>
              <w:bottom w:val="single" w:sz="6" w:space="0" w:color="auto"/>
              <w:right w:val="single" w:sz="6" w:space="0" w:color="auto"/>
            </w:tcBorders>
            <w:hideMark/>
          </w:tcPr>
          <w:p w:rsidR="00B15F05" w:rsidRPr="0012277F" w:rsidRDefault="00444D93" w:rsidP="00414D17">
            <w:pPr>
              <w:spacing w:line="324" w:lineRule="auto"/>
              <w:rPr>
                <w:rFonts w:cs="Arial"/>
              </w:rPr>
            </w:pPr>
            <w:r w:rsidRPr="0012277F">
              <w:t>2,241.2</w:t>
            </w:r>
          </w:p>
        </w:tc>
        <w:tc>
          <w:tcPr>
            <w:tcW w:w="1701" w:type="dxa"/>
            <w:tcBorders>
              <w:top w:val="single" w:sz="6" w:space="0" w:color="auto"/>
              <w:left w:val="single" w:sz="6" w:space="0" w:color="auto"/>
              <w:bottom w:val="single" w:sz="6" w:space="0" w:color="auto"/>
              <w:right w:val="single" w:sz="12" w:space="0" w:color="auto"/>
            </w:tcBorders>
            <w:hideMark/>
          </w:tcPr>
          <w:p w:rsidR="00B15F05" w:rsidRPr="0012277F" w:rsidRDefault="003348DB" w:rsidP="00414D17">
            <w:pPr>
              <w:spacing w:line="324" w:lineRule="auto"/>
              <w:rPr>
                <w:rFonts w:cs="Arial"/>
              </w:rPr>
            </w:pPr>
            <w:r w:rsidRPr="0012277F">
              <w:t>+ 3.6 %</w:t>
            </w:r>
          </w:p>
        </w:tc>
      </w:tr>
      <w:tr w:rsidR="00B15F05" w:rsidRPr="0012277F" w:rsidTr="0012277F">
        <w:tc>
          <w:tcPr>
            <w:tcW w:w="2160" w:type="dxa"/>
            <w:tcBorders>
              <w:top w:val="single" w:sz="6" w:space="0" w:color="auto"/>
              <w:left w:val="single" w:sz="12" w:space="0" w:color="auto"/>
              <w:bottom w:val="single" w:sz="6" w:space="0" w:color="auto"/>
              <w:right w:val="single" w:sz="6" w:space="0" w:color="auto"/>
            </w:tcBorders>
            <w:hideMark/>
          </w:tcPr>
          <w:p w:rsidR="00B15F05" w:rsidRPr="0012277F" w:rsidRDefault="00B15F05" w:rsidP="00290CB1">
            <w:pPr>
              <w:spacing w:line="324" w:lineRule="auto"/>
              <w:rPr>
                <w:rFonts w:cs="Arial"/>
              </w:rPr>
            </w:pPr>
            <w:r w:rsidRPr="0012277F">
              <w:t>Sales revenue</w:t>
            </w:r>
          </w:p>
        </w:tc>
        <w:tc>
          <w:tcPr>
            <w:tcW w:w="1134" w:type="dxa"/>
            <w:tcBorders>
              <w:top w:val="single" w:sz="6" w:space="0" w:color="auto"/>
              <w:left w:val="single" w:sz="6" w:space="0" w:color="auto"/>
              <w:bottom w:val="single" w:sz="6" w:space="0" w:color="auto"/>
              <w:right w:val="single" w:sz="6" w:space="0" w:color="auto"/>
            </w:tcBorders>
            <w:hideMark/>
          </w:tcPr>
          <w:p w:rsidR="00B15F05" w:rsidRPr="0012277F" w:rsidRDefault="00B15F05" w:rsidP="00B24E70">
            <w:pPr>
              <w:spacing w:line="324" w:lineRule="auto"/>
              <w:rPr>
                <w:rFonts w:cs="Arial"/>
                <w:color w:val="000000" w:themeColor="text1"/>
              </w:rPr>
            </w:pPr>
            <w:r w:rsidRPr="0012277F">
              <w:rPr>
                <w:color w:val="000000" w:themeColor="text1"/>
              </w:rPr>
              <w:t>€ million</w:t>
            </w:r>
          </w:p>
        </w:tc>
        <w:tc>
          <w:tcPr>
            <w:tcW w:w="1985" w:type="dxa"/>
            <w:tcBorders>
              <w:top w:val="single" w:sz="6" w:space="0" w:color="auto"/>
              <w:left w:val="single" w:sz="6" w:space="0" w:color="auto"/>
              <w:bottom w:val="single" w:sz="6" w:space="0" w:color="auto"/>
              <w:right w:val="single" w:sz="6" w:space="0" w:color="auto"/>
            </w:tcBorders>
            <w:hideMark/>
          </w:tcPr>
          <w:p w:rsidR="00B15F05" w:rsidRPr="0012277F" w:rsidRDefault="00763E71" w:rsidP="00414D17">
            <w:pPr>
              <w:spacing w:line="324" w:lineRule="auto"/>
              <w:rPr>
                <w:rFonts w:cs="Arial"/>
              </w:rPr>
            </w:pPr>
            <w:r w:rsidRPr="0012277F">
              <w:t>2,184.8</w:t>
            </w:r>
          </w:p>
        </w:tc>
        <w:tc>
          <w:tcPr>
            <w:tcW w:w="1985" w:type="dxa"/>
            <w:tcBorders>
              <w:top w:val="single" w:sz="6" w:space="0" w:color="auto"/>
              <w:left w:val="single" w:sz="6" w:space="0" w:color="auto"/>
              <w:bottom w:val="single" w:sz="6" w:space="0" w:color="auto"/>
              <w:right w:val="single" w:sz="6" w:space="0" w:color="auto"/>
            </w:tcBorders>
            <w:hideMark/>
          </w:tcPr>
          <w:p w:rsidR="00B15F05" w:rsidRPr="0012277F" w:rsidRDefault="00763E71" w:rsidP="00414D17">
            <w:pPr>
              <w:spacing w:line="324" w:lineRule="auto"/>
              <w:rPr>
                <w:rFonts w:cs="Arial"/>
              </w:rPr>
            </w:pPr>
            <w:r w:rsidRPr="0012277F">
              <w:t>2,247.3</w:t>
            </w:r>
          </w:p>
        </w:tc>
        <w:tc>
          <w:tcPr>
            <w:tcW w:w="1701" w:type="dxa"/>
            <w:tcBorders>
              <w:top w:val="single" w:sz="6" w:space="0" w:color="auto"/>
              <w:left w:val="single" w:sz="6" w:space="0" w:color="auto"/>
              <w:bottom w:val="single" w:sz="6" w:space="0" w:color="auto"/>
              <w:right w:val="single" w:sz="12" w:space="0" w:color="auto"/>
            </w:tcBorders>
            <w:hideMark/>
          </w:tcPr>
          <w:p w:rsidR="00B15F05" w:rsidRPr="0012277F" w:rsidRDefault="00B13E89" w:rsidP="00414D17">
            <w:pPr>
              <w:spacing w:line="324" w:lineRule="auto"/>
              <w:rPr>
                <w:rFonts w:cs="Arial"/>
              </w:rPr>
            </w:pPr>
            <w:r w:rsidRPr="0012277F">
              <w:t>-  2.8 %</w:t>
            </w:r>
          </w:p>
        </w:tc>
      </w:tr>
      <w:tr w:rsidR="00B15F05" w:rsidRPr="0012277F" w:rsidTr="0012277F">
        <w:trPr>
          <w:trHeight w:val="227"/>
        </w:trPr>
        <w:tc>
          <w:tcPr>
            <w:tcW w:w="2160" w:type="dxa"/>
            <w:tcBorders>
              <w:top w:val="single" w:sz="6" w:space="0" w:color="auto"/>
              <w:left w:val="single" w:sz="12" w:space="0" w:color="auto"/>
              <w:bottom w:val="single" w:sz="12" w:space="0" w:color="auto"/>
              <w:right w:val="single" w:sz="6" w:space="0" w:color="auto"/>
            </w:tcBorders>
            <w:hideMark/>
          </w:tcPr>
          <w:p w:rsidR="00B15F05" w:rsidRPr="0012277F" w:rsidRDefault="00B15F05" w:rsidP="00B24E70">
            <w:pPr>
              <w:spacing w:line="324" w:lineRule="auto"/>
              <w:rPr>
                <w:rFonts w:cs="Arial"/>
              </w:rPr>
            </w:pPr>
            <w:r w:rsidRPr="0012277F">
              <w:t xml:space="preserve">Employees </w:t>
            </w:r>
            <w:r w:rsidRPr="0012277F">
              <w:rPr>
                <w:sz w:val="16"/>
              </w:rPr>
              <w:t>(31 Dec.)</w:t>
            </w:r>
          </w:p>
        </w:tc>
        <w:tc>
          <w:tcPr>
            <w:tcW w:w="1134" w:type="dxa"/>
            <w:tcBorders>
              <w:top w:val="single" w:sz="6" w:space="0" w:color="auto"/>
              <w:left w:val="single" w:sz="6" w:space="0" w:color="auto"/>
              <w:bottom w:val="single" w:sz="12" w:space="0" w:color="auto"/>
              <w:right w:val="single" w:sz="6" w:space="0" w:color="auto"/>
            </w:tcBorders>
          </w:tcPr>
          <w:p w:rsidR="00B15F05" w:rsidRPr="0012277F" w:rsidRDefault="00B15F05" w:rsidP="00B24E70">
            <w:pPr>
              <w:spacing w:line="324" w:lineRule="auto"/>
              <w:rPr>
                <w:rFonts w:cs="Arial"/>
              </w:rPr>
            </w:pPr>
          </w:p>
        </w:tc>
        <w:tc>
          <w:tcPr>
            <w:tcW w:w="1985" w:type="dxa"/>
            <w:tcBorders>
              <w:top w:val="single" w:sz="6" w:space="0" w:color="auto"/>
              <w:left w:val="single" w:sz="6" w:space="0" w:color="auto"/>
              <w:bottom w:val="single" w:sz="12" w:space="0" w:color="auto"/>
              <w:right w:val="single" w:sz="6" w:space="0" w:color="auto"/>
            </w:tcBorders>
            <w:hideMark/>
          </w:tcPr>
          <w:p w:rsidR="00B15F05" w:rsidRPr="0012277F" w:rsidRDefault="00A86255" w:rsidP="00414D17">
            <w:pPr>
              <w:spacing w:line="324" w:lineRule="auto"/>
              <w:rPr>
                <w:rFonts w:cs="Arial"/>
              </w:rPr>
            </w:pPr>
            <w:r w:rsidRPr="0012277F">
              <w:t>16,322</w:t>
            </w:r>
          </w:p>
        </w:tc>
        <w:tc>
          <w:tcPr>
            <w:tcW w:w="1985" w:type="dxa"/>
            <w:tcBorders>
              <w:top w:val="single" w:sz="6" w:space="0" w:color="auto"/>
              <w:left w:val="single" w:sz="6" w:space="0" w:color="auto"/>
              <w:bottom w:val="single" w:sz="12" w:space="0" w:color="auto"/>
              <w:right w:val="single" w:sz="6" w:space="0" w:color="auto"/>
            </w:tcBorders>
            <w:hideMark/>
          </w:tcPr>
          <w:p w:rsidR="00B15F05" w:rsidRPr="0012277F" w:rsidRDefault="00114B40" w:rsidP="00414D17">
            <w:pPr>
              <w:spacing w:line="324" w:lineRule="auto"/>
              <w:rPr>
                <w:rFonts w:cs="Arial"/>
              </w:rPr>
            </w:pPr>
            <w:r w:rsidRPr="0012277F">
              <w:t>16,546</w:t>
            </w:r>
          </w:p>
        </w:tc>
        <w:tc>
          <w:tcPr>
            <w:tcW w:w="1701" w:type="dxa"/>
            <w:tcBorders>
              <w:top w:val="single" w:sz="6" w:space="0" w:color="auto"/>
              <w:left w:val="single" w:sz="6" w:space="0" w:color="auto"/>
              <w:bottom w:val="single" w:sz="12" w:space="0" w:color="auto"/>
              <w:right w:val="single" w:sz="12" w:space="0" w:color="auto"/>
            </w:tcBorders>
            <w:hideMark/>
          </w:tcPr>
          <w:p w:rsidR="00B15F05" w:rsidRPr="0012277F" w:rsidRDefault="00114B40" w:rsidP="00414D17">
            <w:pPr>
              <w:spacing w:line="324" w:lineRule="auto"/>
              <w:rPr>
                <w:rFonts w:cs="Arial"/>
              </w:rPr>
            </w:pPr>
            <w:r w:rsidRPr="0012277F">
              <w:t>-  1.4 %</w:t>
            </w:r>
          </w:p>
        </w:tc>
      </w:tr>
      <w:bookmarkEnd w:id="1"/>
    </w:tbl>
    <w:p w:rsidR="00B24E70" w:rsidRPr="0012277F" w:rsidRDefault="00B24E70" w:rsidP="00B24E70">
      <w:pPr>
        <w:spacing w:line="324" w:lineRule="auto"/>
        <w:rPr>
          <w:rFonts w:cs="Arial"/>
          <w:color w:val="FF0000"/>
          <w:sz w:val="8"/>
          <w:szCs w:val="8"/>
        </w:rPr>
      </w:pPr>
    </w:p>
    <w:p w:rsidR="00B24E70" w:rsidRPr="0012277F" w:rsidRDefault="00B24E70" w:rsidP="00B24E70">
      <w:pPr>
        <w:spacing w:line="324" w:lineRule="auto"/>
        <w:rPr>
          <w:rFonts w:cs="Arial"/>
          <w:b/>
          <w:bCs/>
          <w:color w:val="FF0000"/>
        </w:rPr>
      </w:pPr>
    </w:p>
    <w:p w:rsidR="00B24E70" w:rsidRPr="0012277F" w:rsidRDefault="00FA41C3" w:rsidP="00FA41C3">
      <w:pPr>
        <w:spacing w:line="324" w:lineRule="auto"/>
        <w:rPr>
          <w:rFonts w:cs="Arial"/>
          <w:b/>
          <w:bCs/>
        </w:rPr>
      </w:pPr>
      <w:r w:rsidRPr="0012277F">
        <w:rPr>
          <w:b/>
        </w:rPr>
        <w:t>Order intake in the Group increases by 3.6</w:t>
      </w:r>
      <w:r w:rsidR="00185F76">
        <w:rPr>
          <w:b/>
        </w:rPr>
        <w:t> </w:t>
      </w:r>
      <w:r w:rsidRPr="0012277F">
        <w:rPr>
          <w:b/>
        </w:rPr>
        <w:t>%</w:t>
      </w:r>
    </w:p>
    <w:p w:rsidR="000E01A1" w:rsidRPr="0012277F" w:rsidRDefault="000E01A1" w:rsidP="00FA41C3">
      <w:pPr>
        <w:spacing w:line="324" w:lineRule="auto"/>
        <w:rPr>
          <w:rFonts w:cs="Arial"/>
          <w:b/>
          <w:bCs/>
          <w:highlight w:val="yellow"/>
        </w:rPr>
      </w:pPr>
    </w:p>
    <w:p w:rsidR="00AC0A34" w:rsidRPr="0012277F" w:rsidRDefault="000E01A1" w:rsidP="00290CB1">
      <w:pPr>
        <w:spacing w:line="324" w:lineRule="auto"/>
        <w:jc w:val="both"/>
        <w:rPr>
          <w:rFonts w:cs="Arial"/>
          <w:szCs w:val="24"/>
        </w:rPr>
      </w:pPr>
      <w:r w:rsidRPr="0012277F">
        <w:t xml:space="preserve">Group order intake rose by € 81.4 million to € 2,322.6 million, representing a growth rate of 3.6 %. Without negative currency exchange effects, this increase would have been around € 53 million higher. The Pumps and Valves product groups recorded </w:t>
      </w:r>
      <w:r w:rsidR="00432D43">
        <w:t>significant</w:t>
      </w:r>
      <w:r w:rsidRPr="0012277F">
        <w:t xml:space="preserve"> increases, helped by several large contracts. Order intake for Service business fell short of the prior-year level. The main reason for this was the continued decline in demand from European energy suppliers, especially in Germany.</w:t>
      </w:r>
    </w:p>
    <w:p w:rsidR="00C27C49" w:rsidRPr="0012277F" w:rsidRDefault="00C27C49" w:rsidP="00C27C49">
      <w:pPr>
        <w:spacing w:line="324" w:lineRule="auto"/>
        <w:jc w:val="both"/>
        <w:rPr>
          <w:rFonts w:cs="Arial"/>
          <w:szCs w:val="24"/>
        </w:rPr>
      </w:pPr>
    </w:p>
    <w:p w:rsidR="00624ED3" w:rsidRPr="0012277F" w:rsidRDefault="00A3185E" w:rsidP="00610641">
      <w:pPr>
        <w:spacing w:line="324" w:lineRule="auto"/>
        <w:jc w:val="both"/>
        <w:rPr>
          <w:rFonts w:cs="Arial"/>
          <w:szCs w:val="24"/>
        </w:rPr>
      </w:pPr>
      <w:r w:rsidRPr="0012277F">
        <w:t xml:space="preserve">Overall, the European Group companies succeeded in noticeably increasing their order intake. </w:t>
      </w:r>
      <w:r w:rsidR="0012277F">
        <w:t>At</w:t>
      </w:r>
      <w:r w:rsidRPr="0012277F">
        <w:t xml:space="preserve"> KSB AG, the value of orders received rose by 5.6 % to € 850.9 million. The order situation of the companies in Asia and the Americas remained virtually unchanged, while growth in the Region Middle East / Africa was weaker than in the previous year.</w:t>
      </w:r>
    </w:p>
    <w:p w:rsidR="00624ED3" w:rsidRPr="0012277F" w:rsidRDefault="00624ED3" w:rsidP="00624ED3">
      <w:pPr>
        <w:spacing w:line="324" w:lineRule="auto"/>
        <w:jc w:val="both"/>
        <w:rPr>
          <w:rFonts w:cs="Arial"/>
          <w:szCs w:val="24"/>
        </w:rPr>
      </w:pPr>
    </w:p>
    <w:p w:rsidR="00624ED3" w:rsidRPr="0012277F" w:rsidRDefault="00624ED3" w:rsidP="00C21CA6">
      <w:pPr>
        <w:spacing w:line="324" w:lineRule="auto"/>
        <w:jc w:val="both"/>
        <w:rPr>
          <w:rFonts w:cs="Arial"/>
          <w:b/>
          <w:bCs/>
          <w:szCs w:val="24"/>
        </w:rPr>
      </w:pPr>
      <w:r w:rsidRPr="0012277F">
        <w:rPr>
          <w:b/>
        </w:rPr>
        <w:t>Sales revenue once again negatively impacted by exchange rates</w:t>
      </w:r>
    </w:p>
    <w:p w:rsidR="00624ED3" w:rsidRPr="0012277F" w:rsidRDefault="00624ED3" w:rsidP="00624ED3">
      <w:pPr>
        <w:spacing w:line="324" w:lineRule="auto"/>
        <w:jc w:val="both"/>
        <w:rPr>
          <w:rFonts w:cs="Arial"/>
          <w:szCs w:val="24"/>
        </w:rPr>
      </w:pPr>
    </w:p>
    <w:p w:rsidR="004E3939" w:rsidRPr="0012277F" w:rsidRDefault="00624ED3" w:rsidP="00F4597F">
      <w:pPr>
        <w:spacing w:line="324" w:lineRule="auto"/>
        <w:jc w:val="both"/>
        <w:rPr>
          <w:rFonts w:cs="Arial"/>
          <w:szCs w:val="24"/>
        </w:rPr>
      </w:pPr>
      <w:r w:rsidRPr="0012277F">
        <w:t xml:space="preserve">In 2014, consolidated sales revenue was 2.8 % down on the previous year and reached a volume of € 2,184.8 million. The decrease of € 62.5 million was mainly due to negative currency exchange effects (- € 53 million); in addition, sales revenue performance was affected by the sluggish order intake in the project business over the last two years. </w:t>
      </w:r>
    </w:p>
    <w:p w:rsidR="004E3939" w:rsidRPr="0012277F" w:rsidRDefault="004E3939" w:rsidP="004E3939">
      <w:pPr>
        <w:spacing w:line="324" w:lineRule="auto"/>
        <w:jc w:val="both"/>
        <w:rPr>
          <w:rFonts w:cs="Arial"/>
          <w:szCs w:val="24"/>
        </w:rPr>
      </w:pPr>
    </w:p>
    <w:p w:rsidR="00624ED3" w:rsidRPr="0012277F" w:rsidRDefault="004E3939" w:rsidP="004E3939">
      <w:pPr>
        <w:spacing w:line="324" w:lineRule="auto"/>
        <w:jc w:val="both"/>
        <w:rPr>
          <w:rFonts w:cs="Arial"/>
          <w:szCs w:val="24"/>
        </w:rPr>
      </w:pPr>
      <w:r w:rsidRPr="0012277F">
        <w:t>The Pumps and Service product groups saw downturns in sales revenue while Valves sales revenue rose slightly due to positive growth in the demand for cryogenic valves for shutting off liquefied gas flows.</w:t>
      </w:r>
    </w:p>
    <w:p w:rsidR="00FF7F02" w:rsidRPr="0012277F" w:rsidRDefault="00FF7F02" w:rsidP="00BE0FA6">
      <w:pPr>
        <w:spacing w:line="324" w:lineRule="auto"/>
        <w:jc w:val="both"/>
        <w:rPr>
          <w:rFonts w:cs="Arial"/>
          <w:szCs w:val="24"/>
        </w:rPr>
      </w:pPr>
    </w:p>
    <w:p w:rsidR="00FF7F02" w:rsidRPr="0012277F" w:rsidRDefault="00FF7F02" w:rsidP="00D569D0">
      <w:pPr>
        <w:spacing w:after="120" w:line="360" w:lineRule="auto"/>
        <w:jc w:val="both"/>
        <w:rPr>
          <w:rFonts w:cs="Arial"/>
          <w:szCs w:val="24"/>
        </w:rPr>
      </w:pPr>
      <w:r w:rsidRPr="0012277F">
        <w:t>In 2014, sales revenue fell in the Regions Asia and Americas / Oceania, as well as in Europe. Here</w:t>
      </w:r>
      <w:r w:rsidR="0012277F">
        <w:t>,</w:t>
      </w:r>
      <w:r w:rsidRPr="0012277F">
        <w:t xml:space="preserve"> </w:t>
      </w:r>
      <w:r w:rsidR="003C39D4">
        <w:t>primarily KSB AG and KSB’</w:t>
      </w:r>
      <w:r w:rsidRPr="0012277F">
        <w:t>s Russian subsidiary posted declines in sales revenue. At € 814.9 million, KSB AG</w:t>
      </w:r>
      <w:r w:rsidR="003C39D4">
        <w:t>’</w:t>
      </w:r>
      <w:r w:rsidRPr="0012277F">
        <w:t>s sales revenue was 4.8 % lower year on year. In the Region Middle East / Africa, however, the Group companies succeeded in continuing to grow their sales revenue despite negative currency exchange effects.</w:t>
      </w:r>
    </w:p>
    <w:p w:rsidR="0003318D" w:rsidRPr="0012277F" w:rsidRDefault="0003318D" w:rsidP="00D569D0">
      <w:pPr>
        <w:spacing w:after="120" w:line="360" w:lineRule="auto"/>
        <w:jc w:val="both"/>
        <w:rPr>
          <w:rFonts w:cs="Arial"/>
          <w:szCs w:val="24"/>
        </w:rPr>
      </w:pPr>
    </w:p>
    <w:p w:rsidR="00B24E70" w:rsidRPr="0012277F" w:rsidRDefault="00C21CA6" w:rsidP="00B155BD">
      <w:pPr>
        <w:spacing w:line="324" w:lineRule="auto"/>
        <w:rPr>
          <w:rFonts w:cs="Arial"/>
          <w:b/>
          <w:bCs/>
          <w:color w:val="000000" w:themeColor="text1"/>
        </w:rPr>
      </w:pPr>
      <w:r w:rsidRPr="0012277F">
        <w:rPr>
          <w:b/>
          <w:color w:val="000000" w:themeColor="text1"/>
        </w:rPr>
        <w:t>Consolidated earnings considerably lower</w:t>
      </w:r>
    </w:p>
    <w:p w:rsidR="00BF737D" w:rsidRPr="0012277F" w:rsidRDefault="00BF737D" w:rsidP="00702057">
      <w:pPr>
        <w:spacing w:line="324" w:lineRule="auto"/>
        <w:rPr>
          <w:rFonts w:cs="Arial"/>
          <w:b/>
          <w:bCs/>
          <w:color w:val="000000" w:themeColor="text1"/>
          <w:highlight w:val="yellow"/>
        </w:rPr>
      </w:pPr>
    </w:p>
    <w:p w:rsidR="00BF737D" w:rsidRPr="0012277F" w:rsidRDefault="00BF737D" w:rsidP="00D569D0">
      <w:pPr>
        <w:spacing w:line="324" w:lineRule="auto"/>
        <w:jc w:val="both"/>
        <w:rPr>
          <w:rFonts w:cs="Arial"/>
          <w:color w:val="000000" w:themeColor="text1"/>
        </w:rPr>
      </w:pPr>
      <w:r w:rsidRPr="0012277F">
        <w:rPr>
          <w:color w:val="000000" w:themeColor="text1"/>
        </w:rPr>
        <w:t>The decline in sales revenue and the continued poor profit quality in the power plant business weighed heavily on 2014 consolidated earnings before taxes (EBT)</w:t>
      </w:r>
      <w:r w:rsidR="00392BBE">
        <w:rPr>
          <w:color w:val="000000" w:themeColor="text1"/>
        </w:rPr>
        <w:t xml:space="preserve">. </w:t>
      </w:r>
      <w:r w:rsidR="00392BBE" w:rsidRPr="00807CF9">
        <w:rPr>
          <w:color w:val="000000" w:themeColor="text1"/>
        </w:rPr>
        <w:t xml:space="preserve">Costs incurred for </w:t>
      </w:r>
      <w:r w:rsidRPr="00807CF9">
        <w:rPr>
          <w:color w:val="000000" w:themeColor="text1"/>
        </w:rPr>
        <w:t xml:space="preserve">restructuring measures </w:t>
      </w:r>
      <w:r w:rsidR="00392BBE" w:rsidRPr="00807CF9">
        <w:rPr>
          <w:color w:val="000000" w:themeColor="text1"/>
        </w:rPr>
        <w:t>added to the burden</w:t>
      </w:r>
      <w:r w:rsidRPr="00807CF9">
        <w:rPr>
          <w:color w:val="000000" w:themeColor="text1"/>
        </w:rPr>
        <w:t>. Already at mid-year</w:t>
      </w:r>
      <w:r w:rsidRPr="0012277F">
        <w:rPr>
          <w:color w:val="000000" w:themeColor="text1"/>
        </w:rPr>
        <w:t xml:space="preserve">, therefore, the earnings forecast </w:t>
      </w:r>
      <w:proofErr w:type="gramStart"/>
      <w:r w:rsidRPr="0012277F">
        <w:rPr>
          <w:color w:val="000000" w:themeColor="text1"/>
        </w:rPr>
        <w:t>was corrected</w:t>
      </w:r>
      <w:proofErr w:type="gramEnd"/>
      <w:r w:rsidRPr="0012277F">
        <w:rPr>
          <w:color w:val="000000" w:themeColor="text1"/>
        </w:rPr>
        <w:t xml:space="preserve"> to between € 60 and € 85 million. </w:t>
      </w:r>
      <w:r w:rsidRPr="0012277F">
        <w:rPr>
          <w:color w:val="000000" w:themeColor="text1"/>
        </w:rPr>
        <w:lastRenderedPageBreak/>
        <w:t>Consolidated earnings before taxes (EBT) are expected to be in the middle of this range.</w:t>
      </w:r>
    </w:p>
    <w:p w:rsidR="006112E4" w:rsidRPr="0012277F" w:rsidRDefault="006112E4" w:rsidP="006112E4">
      <w:pPr>
        <w:spacing w:line="324" w:lineRule="auto"/>
        <w:rPr>
          <w:rFonts w:cs="Arial"/>
          <w:color w:val="000000" w:themeColor="text1"/>
        </w:rPr>
      </w:pPr>
    </w:p>
    <w:p w:rsidR="00AB3A62" w:rsidRPr="0012277F" w:rsidRDefault="00AB3A62" w:rsidP="00797EC4">
      <w:pPr>
        <w:pStyle w:val="berschrift1"/>
        <w:spacing w:line="324" w:lineRule="auto"/>
        <w:rPr>
          <w:rFonts w:cs="Arial"/>
          <w:sz w:val="24"/>
        </w:rPr>
      </w:pPr>
      <w:r w:rsidRPr="0012277F">
        <w:rPr>
          <w:sz w:val="24"/>
        </w:rPr>
        <w:t>Employee numbers f</w:t>
      </w:r>
      <w:r w:rsidR="0012277F">
        <w:rPr>
          <w:sz w:val="24"/>
        </w:rPr>
        <w:t>e</w:t>
      </w:r>
      <w:r w:rsidRPr="0012277F">
        <w:rPr>
          <w:sz w:val="24"/>
        </w:rPr>
        <w:t>ll slightly</w:t>
      </w:r>
    </w:p>
    <w:p w:rsidR="00AB3A62" w:rsidRPr="0012277F" w:rsidRDefault="00AB3A62" w:rsidP="00AB3A62">
      <w:pPr>
        <w:jc w:val="both"/>
        <w:rPr>
          <w:rFonts w:cs="Arial"/>
          <w:b/>
          <w:color w:val="000000" w:themeColor="text1"/>
          <w:szCs w:val="24"/>
        </w:rPr>
      </w:pPr>
    </w:p>
    <w:p w:rsidR="00AB3A62" w:rsidRPr="0012277F" w:rsidRDefault="00AB3A62" w:rsidP="00B155BD">
      <w:pPr>
        <w:spacing w:line="324" w:lineRule="auto"/>
        <w:jc w:val="both"/>
        <w:rPr>
          <w:rFonts w:cs="Arial"/>
        </w:rPr>
      </w:pPr>
      <w:r w:rsidRPr="0012277F">
        <w:rPr>
          <w:color w:val="000000" w:themeColor="text1"/>
        </w:rPr>
        <w:t>At the end of the reporting year, 16,322 people w</w:t>
      </w:r>
      <w:r w:rsidR="003C39D4">
        <w:rPr>
          <w:color w:val="000000" w:themeColor="text1"/>
        </w:rPr>
        <w:t xml:space="preserve">ere employed in the KSB Group, </w:t>
      </w:r>
      <w:r w:rsidRPr="0012277F">
        <w:rPr>
          <w:color w:val="000000" w:themeColor="text1"/>
        </w:rPr>
        <w:t xml:space="preserve">224 fewer than in 2013. KSB AG and KSB Service GmbH (Frankenthal) recorded significant decreases, with the total workforce reduced by 177 employees at year end. These personnel cuts are part of the measures implemented by KSB to adapt to new market conditions and increase its competitiveness. </w:t>
      </w:r>
    </w:p>
    <w:p w:rsidR="00AB3A62" w:rsidRPr="0012277F" w:rsidRDefault="00AB3A62" w:rsidP="00AB3A62">
      <w:pPr>
        <w:spacing w:line="324" w:lineRule="auto"/>
        <w:jc w:val="both"/>
        <w:rPr>
          <w:rFonts w:cs="Arial"/>
        </w:rPr>
      </w:pPr>
    </w:p>
    <w:p w:rsidR="00B24E70" w:rsidRPr="0012277F" w:rsidRDefault="00B24E70" w:rsidP="00D569D0">
      <w:pPr>
        <w:spacing w:line="324" w:lineRule="auto"/>
        <w:rPr>
          <w:rFonts w:cs="Arial"/>
          <w:b/>
          <w:bCs/>
        </w:rPr>
      </w:pPr>
      <w:r w:rsidRPr="0012277F">
        <w:rPr>
          <w:b/>
        </w:rPr>
        <w:t>Outlook</w:t>
      </w:r>
    </w:p>
    <w:p w:rsidR="00A658BD" w:rsidRPr="0012277F" w:rsidRDefault="00A658BD" w:rsidP="00A658BD">
      <w:pPr>
        <w:spacing w:line="324" w:lineRule="auto"/>
        <w:rPr>
          <w:rFonts w:cs="Arial"/>
          <w:b/>
          <w:bCs/>
        </w:rPr>
      </w:pPr>
    </w:p>
    <w:p w:rsidR="007C1805" w:rsidRPr="0012277F" w:rsidRDefault="009755EB" w:rsidP="00D569D0">
      <w:pPr>
        <w:spacing w:line="324" w:lineRule="auto"/>
        <w:jc w:val="both"/>
        <w:rPr>
          <w:rFonts w:cs="Arial"/>
        </w:rPr>
      </w:pPr>
      <w:r w:rsidRPr="0012277F">
        <w:t>In 2015, the KSB Group expects order intake and sales revenue to grow. A revival in project business involving power plant orders from China and India is expected to contribute to this</w:t>
      </w:r>
      <w:r w:rsidR="003C39D4">
        <w:t xml:space="preserve"> growth</w:t>
      </w:r>
      <w:r w:rsidRPr="0012277F">
        <w:t xml:space="preserve">. In addition, the new sales structure will strengthen the general business with standard products and the business with spare parts and services. </w:t>
      </w:r>
    </w:p>
    <w:p w:rsidR="007C1805" w:rsidRPr="0012277F" w:rsidRDefault="007C1805" w:rsidP="00D569D0">
      <w:pPr>
        <w:spacing w:line="324" w:lineRule="auto"/>
        <w:jc w:val="both"/>
        <w:rPr>
          <w:rFonts w:cs="Arial"/>
        </w:rPr>
      </w:pPr>
    </w:p>
    <w:p w:rsidR="00A67EEE" w:rsidRPr="0012277F" w:rsidRDefault="00A67EEE" w:rsidP="00D569D0">
      <w:pPr>
        <w:spacing w:line="324" w:lineRule="auto"/>
        <w:jc w:val="both"/>
        <w:rPr>
          <w:rFonts w:cs="Arial"/>
        </w:rPr>
      </w:pPr>
      <w:r w:rsidRPr="0012277F">
        <w:t>Further growth areas will arise from the current strategy review.</w:t>
      </w:r>
    </w:p>
    <w:p w:rsidR="00A67EEE" w:rsidRPr="0012277F" w:rsidRDefault="00A67EEE" w:rsidP="00D569D0">
      <w:pPr>
        <w:spacing w:line="324" w:lineRule="auto"/>
        <w:jc w:val="both"/>
        <w:rPr>
          <w:rFonts w:cs="Arial"/>
        </w:rPr>
      </w:pPr>
    </w:p>
    <w:p w:rsidR="009755EB" w:rsidRPr="0012277F" w:rsidRDefault="009755EB" w:rsidP="00D569D0">
      <w:pPr>
        <w:spacing w:line="324" w:lineRule="auto"/>
        <w:jc w:val="both"/>
        <w:rPr>
          <w:rFonts w:cs="Arial"/>
        </w:rPr>
      </w:pPr>
      <w:r w:rsidRPr="0012277F">
        <w:t>KSB also considers the improvement of its cost structure to be a primary task, and restructuring measures introduced in 2014 will contribute to this. They are expected to have a positive impact already on this year</w:t>
      </w:r>
      <w:r w:rsidR="003C39D4">
        <w:t>’</w:t>
      </w:r>
      <w:r w:rsidRPr="0012277F">
        <w:t xml:space="preserve">s earnings. Consolidated earnings before taxes (EBT) are expected to increase </w:t>
      </w:r>
      <w:r w:rsidR="00432D43">
        <w:t>significantly</w:t>
      </w:r>
      <w:r w:rsidRPr="0012277F">
        <w:t xml:space="preserve"> again in 2015.</w:t>
      </w:r>
    </w:p>
    <w:p w:rsidR="00CD7DB8" w:rsidRPr="0012277F" w:rsidRDefault="00CD7DB8" w:rsidP="00CD7DB8">
      <w:pPr>
        <w:spacing w:line="324" w:lineRule="auto"/>
        <w:jc w:val="both"/>
      </w:pPr>
    </w:p>
    <w:sectPr w:rsidR="00CD7DB8" w:rsidRPr="0012277F" w:rsidSect="00B128D1">
      <w:headerReference w:type="default" r:id="rId7"/>
      <w:footerReference w:type="even" r:id="rId8"/>
      <w:footerReference w:type="default" r:id="rId9"/>
      <w:pgSz w:w="11906" w:h="16838"/>
      <w:pgMar w:top="1985" w:right="1418" w:bottom="1985" w:left="1418" w:header="851"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1AA6" w:rsidRDefault="00291AA6">
      <w:r>
        <w:separator/>
      </w:r>
    </w:p>
  </w:endnote>
  <w:endnote w:type="continuationSeparator" w:id="0">
    <w:p w:rsidR="00291AA6" w:rsidRDefault="00291A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Times Regular">
    <w:panose1 w:val="00000000000000000000"/>
    <w:charset w:val="00"/>
    <w:family w:val="auto"/>
    <w:notTrueType/>
    <w:pitch w:val="default"/>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Frutiger LT Pro 45 Light">
    <w:altName w:val="Arial"/>
    <w:panose1 w:val="00000000000000000000"/>
    <w:charset w:val="00"/>
    <w:family w:val="swiss"/>
    <w:notTrueType/>
    <w:pitch w:val="variable"/>
    <w:sig w:usb0="00000087" w:usb1="00000000" w:usb2="00000000" w:usb3="00000000" w:csb0="0000009B"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597F" w:rsidRDefault="005B6A3D" w:rsidP="00E22719">
    <w:pPr>
      <w:pStyle w:val="Fuzeile"/>
      <w:framePr w:wrap="around" w:vAnchor="text" w:hAnchor="margin" w:xAlign="right" w:y="1"/>
      <w:rPr>
        <w:rStyle w:val="Seitenzahl"/>
      </w:rPr>
    </w:pPr>
    <w:r>
      <w:rPr>
        <w:rStyle w:val="Seitenzahl"/>
      </w:rPr>
      <w:fldChar w:fldCharType="begin"/>
    </w:r>
    <w:r w:rsidR="00F4597F">
      <w:rPr>
        <w:rStyle w:val="Seitenzahl"/>
      </w:rPr>
      <w:instrText xml:space="preserve">PAGE  </w:instrText>
    </w:r>
    <w:r>
      <w:rPr>
        <w:rStyle w:val="Seitenzahl"/>
      </w:rPr>
      <w:fldChar w:fldCharType="separate"/>
    </w:r>
    <w:r w:rsidR="00F4597F">
      <w:rPr>
        <w:rStyle w:val="Seitenzahl"/>
        <w:noProof/>
      </w:rPr>
      <w:t>1</w:t>
    </w:r>
    <w:r>
      <w:rPr>
        <w:rStyle w:val="Seitenzahl"/>
      </w:rPr>
      <w:fldChar w:fldCharType="end"/>
    </w:r>
  </w:p>
  <w:p w:rsidR="00F4597F" w:rsidRDefault="00F4597F">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597F" w:rsidRDefault="00F4597F">
    <w:pPr>
      <w:pStyle w:val="Fuzeil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1AA6" w:rsidRDefault="00291AA6">
      <w:r>
        <w:separator/>
      </w:r>
    </w:p>
  </w:footnote>
  <w:footnote w:type="continuationSeparator" w:id="0">
    <w:p w:rsidR="00291AA6" w:rsidRDefault="00291A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597F" w:rsidRDefault="00F4597F" w:rsidP="00133F38">
    <w:pPr>
      <w:pStyle w:val="Kopfzeile"/>
      <w:jc w:val="right"/>
    </w:pPr>
    <w:r>
      <w:object w:dxaOrig="10606" w:dyaOrig="46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1.6pt;height:39.15pt" fillcolor="window">
          <v:imagedata r:id="rId1" o:title=""/>
        </v:shape>
        <o:OLEObject Type="Embed" ProgID="MSDraw" ShapeID="_x0000_i1025" DrawAspect="Content" ObjectID="_1676790995" r:id="rId2">
          <o:FieldCodes>\* MERGEFORMAT</o:FieldCodes>
        </o:OLEObject>
      </w:object>
    </w:r>
  </w:p>
  <w:p w:rsidR="00F4597F" w:rsidRDefault="00F4597F" w:rsidP="00B24E70">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isplayHorizontalDrawingGridEvery w:val="0"/>
  <w:displayVerticalDrawingGridEvery w:val="0"/>
  <w:noPunctuationKerning/>
  <w:characterSpacingControl w:val="doNotCompress"/>
  <w:hdrShapeDefaults>
    <o:shapedefaults v:ext="edit" spidmax="2355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4D87"/>
    <w:rsid w:val="00002ADE"/>
    <w:rsid w:val="00003F7E"/>
    <w:rsid w:val="00004B2F"/>
    <w:rsid w:val="000055C5"/>
    <w:rsid w:val="00005CD4"/>
    <w:rsid w:val="00005E49"/>
    <w:rsid w:val="000127FE"/>
    <w:rsid w:val="00013170"/>
    <w:rsid w:val="00013AEA"/>
    <w:rsid w:val="00017A89"/>
    <w:rsid w:val="000253A9"/>
    <w:rsid w:val="00025F92"/>
    <w:rsid w:val="00027D60"/>
    <w:rsid w:val="000318C1"/>
    <w:rsid w:val="00032ABE"/>
    <w:rsid w:val="0003318D"/>
    <w:rsid w:val="000519FF"/>
    <w:rsid w:val="0005251B"/>
    <w:rsid w:val="00053F9F"/>
    <w:rsid w:val="00055C44"/>
    <w:rsid w:val="000613FD"/>
    <w:rsid w:val="000640A8"/>
    <w:rsid w:val="00072BEC"/>
    <w:rsid w:val="00072D1F"/>
    <w:rsid w:val="000761D8"/>
    <w:rsid w:val="00081DC1"/>
    <w:rsid w:val="00081E6E"/>
    <w:rsid w:val="00082E9E"/>
    <w:rsid w:val="00085528"/>
    <w:rsid w:val="00086B58"/>
    <w:rsid w:val="0009429D"/>
    <w:rsid w:val="000960FE"/>
    <w:rsid w:val="000A59D3"/>
    <w:rsid w:val="000A633B"/>
    <w:rsid w:val="000B44C6"/>
    <w:rsid w:val="000C6C41"/>
    <w:rsid w:val="000C7D49"/>
    <w:rsid w:val="000D07A7"/>
    <w:rsid w:val="000D1AF4"/>
    <w:rsid w:val="000D3962"/>
    <w:rsid w:val="000E01A1"/>
    <w:rsid w:val="000E103B"/>
    <w:rsid w:val="000F0BEA"/>
    <w:rsid w:val="000F5C3A"/>
    <w:rsid w:val="000F6AA0"/>
    <w:rsid w:val="0010299B"/>
    <w:rsid w:val="00107F82"/>
    <w:rsid w:val="00114B40"/>
    <w:rsid w:val="00116B12"/>
    <w:rsid w:val="00122459"/>
    <w:rsid w:val="0012277F"/>
    <w:rsid w:val="00125476"/>
    <w:rsid w:val="001309B5"/>
    <w:rsid w:val="00131C58"/>
    <w:rsid w:val="001329C9"/>
    <w:rsid w:val="00133F38"/>
    <w:rsid w:val="00134B31"/>
    <w:rsid w:val="00150B51"/>
    <w:rsid w:val="001518AB"/>
    <w:rsid w:val="00152510"/>
    <w:rsid w:val="00152A95"/>
    <w:rsid w:val="00161709"/>
    <w:rsid w:val="0016664A"/>
    <w:rsid w:val="00166E68"/>
    <w:rsid w:val="00170C85"/>
    <w:rsid w:val="00171819"/>
    <w:rsid w:val="001722FC"/>
    <w:rsid w:val="00172C0C"/>
    <w:rsid w:val="00173620"/>
    <w:rsid w:val="00174D7C"/>
    <w:rsid w:val="00180F6C"/>
    <w:rsid w:val="001824B9"/>
    <w:rsid w:val="00182812"/>
    <w:rsid w:val="00185F76"/>
    <w:rsid w:val="001946E7"/>
    <w:rsid w:val="0019719F"/>
    <w:rsid w:val="001A1C16"/>
    <w:rsid w:val="001A483F"/>
    <w:rsid w:val="001A5C85"/>
    <w:rsid w:val="001A6FB9"/>
    <w:rsid w:val="001C03DC"/>
    <w:rsid w:val="001C2033"/>
    <w:rsid w:val="001C2FDA"/>
    <w:rsid w:val="001C7E4C"/>
    <w:rsid w:val="001D2E9A"/>
    <w:rsid w:val="001D4574"/>
    <w:rsid w:val="001E4DFD"/>
    <w:rsid w:val="001E5CA1"/>
    <w:rsid w:val="001E6945"/>
    <w:rsid w:val="001E6B14"/>
    <w:rsid w:val="001F0AE3"/>
    <w:rsid w:val="00200779"/>
    <w:rsid w:val="002122C5"/>
    <w:rsid w:val="002132D8"/>
    <w:rsid w:val="00214B81"/>
    <w:rsid w:val="002328DB"/>
    <w:rsid w:val="002377C1"/>
    <w:rsid w:val="00244F52"/>
    <w:rsid w:val="00262265"/>
    <w:rsid w:val="0026351F"/>
    <w:rsid w:val="0027125E"/>
    <w:rsid w:val="00274B71"/>
    <w:rsid w:val="00276A53"/>
    <w:rsid w:val="00283CAF"/>
    <w:rsid w:val="00290CB1"/>
    <w:rsid w:val="00291AA6"/>
    <w:rsid w:val="00294E9F"/>
    <w:rsid w:val="002A3F1B"/>
    <w:rsid w:val="002A5500"/>
    <w:rsid w:val="002A6D1A"/>
    <w:rsid w:val="002B041D"/>
    <w:rsid w:val="002D2498"/>
    <w:rsid w:val="002D5001"/>
    <w:rsid w:val="002E014F"/>
    <w:rsid w:val="002E087D"/>
    <w:rsid w:val="002E2183"/>
    <w:rsid w:val="002E28BF"/>
    <w:rsid w:val="002E3B2F"/>
    <w:rsid w:val="002E54BD"/>
    <w:rsid w:val="002F5448"/>
    <w:rsid w:val="00301FBA"/>
    <w:rsid w:val="00303D9B"/>
    <w:rsid w:val="003065AC"/>
    <w:rsid w:val="00307FE5"/>
    <w:rsid w:val="0031073D"/>
    <w:rsid w:val="00312FC7"/>
    <w:rsid w:val="003226BF"/>
    <w:rsid w:val="0032428A"/>
    <w:rsid w:val="0033204D"/>
    <w:rsid w:val="003330B5"/>
    <w:rsid w:val="003330D3"/>
    <w:rsid w:val="003348DB"/>
    <w:rsid w:val="00334F8B"/>
    <w:rsid w:val="00337850"/>
    <w:rsid w:val="00337ECB"/>
    <w:rsid w:val="00342CA6"/>
    <w:rsid w:val="003463B7"/>
    <w:rsid w:val="0034652A"/>
    <w:rsid w:val="003470FB"/>
    <w:rsid w:val="00351E2A"/>
    <w:rsid w:val="00362492"/>
    <w:rsid w:val="00362926"/>
    <w:rsid w:val="003676A8"/>
    <w:rsid w:val="003705C9"/>
    <w:rsid w:val="00372385"/>
    <w:rsid w:val="003727AD"/>
    <w:rsid w:val="003730A5"/>
    <w:rsid w:val="003749A2"/>
    <w:rsid w:val="00375F25"/>
    <w:rsid w:val="00376AE4"/>
    <w:rsid w:val="00377CC1"/>
    <w:rsid w:val="00382C7A"/>
    <w:rsid w:val="003833CA"/>
    <w:rsid w:val="00390464"/>
    <w:rsid w:val="00390DF8"/>
    <w:rsid w:val="00392BBE"/>
    <w:rsid w:val="003A4F09"/>
    <w:rsid w:val="003B2646"/>
    <w:rsid w:val="003B6D7C"/>
    <w:rsid w:val="003C17E3"/>
    <w:rsid w:val="003C39D4"/>
    <w:rsid w:val="003C6614"/>
    <w:rsid w:val="003D23BD"/>
    <w:rsid w:val="003D7B99"/>
    <w:rsid w:val="003E0E2F"/>
    <w:rsid w:val="003E2A9F"/>
    <w:rsid w:val="003E5404"/>
    <w:rsid w:val="003E74CA"/>
    <w:rsid w:val="00406529"/>
    <w:rsid w:val="00406A42"/>
    <w:rsid w:val="00414D17"/>
    <w:rsid w:val="00415BD9"/>
    <w:rsid w:val="0043106D"/>
    <w:rsid w:val="00432D43"/>
    <w:rsid w:val="004344C5"/>
    <w:rsid w:val="00436D96"/>
    <w:rsid w:val="004376D5"/>
    <w:rsid w:val="00444D93"/>
    <w:rsid w:val="004537DB"/>
    <w:rsid w:val="00454ABE"/>
    <w:rsid w:val="00454FC7"/>
    <w:rsid w:val="00455043"/>
    <w:rsid w:val="0046245F"/>
    <w:rsid w:val="00463C06"/>
    <w:rsid w:val="00464FEA"/>
    <w:rsid w:val="00474420"/>
    <w:rsid w:val="00474FE3"/>
    <w:rsid w:val="00480D86"/>
    <w:rsid w:val="0048316A"/>
    <w:rsid w:val="0048334F"/>
    <w:rsid w:val="00486AD8"/>
    <w:rsid w:val="004A3051"/>
    <w:rsid w:val="004B63D7"/>
    <w:rsid w:val="004C21D5"/>
    <w:rsid w:val="004C666E"/>
    <w:rsid w:val="004C6959"/>
    <w:rsid w:val="004D147D"/>
    <w:rsid w:val="004D23FC"/>
    <w:rsid w:val="004E1032"/>
    <w:rsid w:val="004E29D2"/>
    <w:rsid w:val="004E3939"/>
    <w:rsid w:val="004E4C90"/>
    <w:rsid w:val="004E5DA2"/>
    <w:rsid w:val="004E7459"/>
    <w:rsid w:val="004F25A8"/>
    <w:rsid w:val="004F2C2B"/>
    <w:rsid w:val="004F59B1"/>
    <w:rsid w:val="004F6988"/>
    <w:rsid w:val="005024E8"/>
    <w:rsid w:val="0050340A"/>
    <w:rsid w:val="0050386F"/>
    <w:rsid w:val="00510A8A"/>
    <w:rsid w:val="0051278F"/>
    <w:rsid w:val="00514549"/>
    <w:rsid w:val="00515CF1"/>
    <w:rsid w:val="00516000"/>
    <w:rsid w:val="00516242"/>
    <w:rsid w:val="005205A7"/>
    <w:rsid w:val="00520BF3"/>
    <w:rsid w:val="00521787"/>
    <w:rsid w:val="005219DE"/>
    <w:rsid w:val="00523A7C"/>
    <w:rsid w:val="005461D4"/>
    <w:rsid w:val="00553124"/>
    <w:rsid w:val="005546D7"/>
    <w:rsid w:val="00566399"/>
    <w:rsid w:val="00573C08"/>
    <w:rsid w:val="00573F51"/>
    <w:rsid w:val="005744D9"/>
    <w:rsid w:val="005751ED"/>
    <w:rsid w:val="00575410"/>
    <w:rsid w:val="00584520"/>
    <w:rsid w:val="00584597"/>
    <w:rsid w:val="00586EE3"/>
    <w:rsid w:val="005913F5"/>
    <w:rsid w:val="00594138"/>
    <w:rsid w:val="005962BF"/>
    <w:rsid w:val="005A2D9B"/>
    <w:rsid w:val="005A5636"/>
    <w:rsid w:val="005A6FC4"/>
    <w:rsid w:val="005B0CBA"/>
    <w:rsid w:val="005B6A3D"/>
    <w:rsid w:val="005C01D5"/>
    <w:rsid w:val="005D1677"/>
    <w:rsid w:val="005D3145"/>
    <w:rsid w:val="005D43D5"/>
    <w:rsid w:val="005D4512"/>
    <w:rsid w:val="005D7349"/>
    <w:rsid w:val="005E7229"/>
    <w:rsid w:val="005F17D3"/>
    <w:rsid w:val="005F2DF6"/>
    <w:rsid w:val="005F2E72"/>
    <w:rsid w:val="00602768"/>
    <w:rsid w:val="00606DC5"/>
    <w:rsid w:val="00610641"/>
    <w:rsid w:val="006112E4"/>
    <w:rsid w:val="0061378A"/>
    <w:rsid w:val="00617DD8"/>
    <w:rsid w:val="006220D5"/>
    <w:rsid w:val="00622F90"/>
    <w:rsid w:val="00624ED3"/>
    <w:rsid w:val="006254CA"/>
    <w:rsid w:val="006254CE"/>
    <w:rsid w:val="006258BE"/>
    <w:rsid w:val="0062674A"/>
    <w:rsid w:val="00633B4B"/>
    <w:rsid w:val="006355CF"/>
    <w:rsid w:val="00635E1C"/>
    <w:rsid w:val="006503A7"/>
    <w:rsid w:val="00653572"/>
    <w:rsid w:val="00653A5E"/>
    <w:rsid w:val="00656900"/>
    <w:rsid w:val="006578A3"/>
    <w:rsid w:val="006627A9"/>
    <w:rsid w:val="006722AE"/>
    <w:rsid w:val="006774D4"/>
    <w:rsid w:val="00682D3C"/>
    <w:rsid w:val="006931A0"/>
    <w:rsid w:val="00693E12"/>
    <w:rsid w:val="006A4290"/>
    <w:rsid w:val="006A782D"/>
    <w:rsid w:val="006A7DDF"/>
    <w:rsid w:val="006B0BEF"/>
    <w:rsid w:val="006B6C08"/>
    <w:rsid w:val="006C0D17"/>
    <w:rsid w:val="006C59AA"/>
    <w:rsid w:val="006C59B2"/>
    <w:rsid w:val="006D5467"/>
    <w:rsid w:val="006E23CC"/>
    <w:rsid w:val="006E50E6"/>
    <w:rsid w:val="006F334A"/>
    <w:rsid w:val="006F3437"/>
    <w:rsid w:val="007012B1"/>
    <w:rsid w:val="00701417"/>
    <w:rsid w:val="00702057"/>
    <w:rsid w:val="0070299D"/>
    <w:rsid w:val="007137AF"/>
    <w:rsid w:val="007146AA"/>
    <w:rsid w:val="00730DF8"/>
    <w:rsid w:val="007345B5"/>
    <w:rsid w:val="007352A2"/>
    <w:rsid w:val="007359F0"/>
    <w:rsid w:val="0074074A"/>
    <w:rsid w:val="00742551"/>
    <w:rsid w:val="007434C4"/>
    <w:rsid w:val="00745F81"/>
    <w:rsid w:val="00747989"/>
    <w:rsid w:val="00751C2E"/>
    <w:rsid w:val="00760C5E"/>
    <w:rsid w:val="007616BD"/>
    <w:rsid w:val="007625AC"/>
    <w:rsid w:val="00763E71"/>
    <w:rsid w:val="00770F7B"/>
    <w:rsid w:val="00771093"/>
    <w:rsid w:val="00772013"/>
    <w:rsid w:val="00772B96"/>
    <w:rsid w:val="00776C61"/>
    <w:rsid w:val="00777F3E"/>
    <w:rsid w:val="00782A69"/>
    <w:rsid w:val="00791F8D"/>
    <w:rsid w:val="007926A4"/>
    <w:rsid w:val="00794FAD"/>
    <w:rsid w:val="00797164"/>
    <w:rsid w:val="00797EC4"/>
    <w:rsid w:val="007A0049"/>
    <w:rsid w:val="007A1667"/>
    <w:rsid w:val="007A169D"/>
    <w:rsid w:val="007A1B7B"/>
    <w:rsid w:val="007A227D"/>
    <w:rsid w:val="007B50EB"/>
    <w:rsid w:val="007B64FB"/>
    <w:rsid w:val="007C00EA"/>
    <w:rsid w:val="007C1805"/>
    <w:rsid w:val="007D1868"/>
    <w:rsid w:val="007F0837"/>
    <w:rsid w:val="007F112E"/>
    <w:rsid w:val="007F547E"/>
    <w:rsid w:val="00804677"/>
    <w:rsid w:val="00807CF9"/>
    <w:rsid w:val="00812FD2"/>
    <w:rsid w:val="00816DF9"/>
    <w:rsid w:val="008206D5"/>
    <w:rsid w:val="0083170F"/>
    <w:rsid w:val="0083314F"/>
    <w:rsid w:val="00834EB3"/>
    <w:rsid w:val="008355EC"/>
    <w:rsid w:val="008424FB"/>
    <w:rsid w:val="00842F29"/>
    <w:rsid w:val="00845954"/>
    <w:rsid w:val="00846F3C"/>
    <w:rsid w:val="00850035"/>
    <w:rsid w:val="00850F3A"/>
    <w:rsid w:val="00852802"/>
    <w:rsid w:val="00854ADF"/>
    <w:rsid w:val="00856877"/>
    <w:rsid w:val="00864879"/>
    <w:rsid w:val="00870814"/>
    <w:rsid w:val="00871C6A"/>
    <w:rsid w:val="00871E16"/>
    <w:rsid w:val="008731F2"/>
    <w:rsid w:val="008735C5"/>
    <w:rsid w:val="00882DDB"/>
    <w:rsid w:val="00883DA7"/>
    <w:rsid w:val="008847BA"/>
    <w:rsid w:val="0089701F"/>
    <w:rsid w:val="008A1049"/>
    <w:rsid w:val="008A2A52"/>
    <w:rsid w:val="008A2BCF"/>
    <w:rsid w:val="008A41FA"/>
    <w:rsid w:val="008A4AB8"/>
    <w:rsid w:val="008A50B6"/>
    <w:rsid w:val="008A5725"/>
    <w:rsid w:val="008C1E92"/>
    <w:rsid w:val="008C5A10"/>
    <w:rsid w:val="008C7112"/>
    <w:rsid w:val="008D2C7C"/>
    <w:rsid w:val="008E0113"/>
    <w:rsid w:val="008E36EC"/>
    <w:rsid w:val="009029E3"/>
    <w:rsid w:val="00903953"/>
    <w:rsid w:val="00905935"/>
    <w:rsid w:val="00906136"/>
    <w:rsid w:val="00906DB4"/>
    <w:rsid w:val="00911EB2"/>
    <w:rsid w:val="00912EB6"/>
    <w:rsid w:val="009147E5"/>
    <w:rsid w:val="00915FB9"/>
    <w:rsid w:val="009203D7"/>
    <w:rsid w:val="00921EB9"/>
    <w:rsid w:val="00923389"/>
    <w:rsid w:val="00923EE4"/>
    <w:rsid w:val="00923F9A"/>
    <w:rsid w:val="00927010"/>
    <w:rsid w:val="00927278"/>
    <w:rsid w:val="00935FD9"/>
    <w:rsid w:val="00945574"/>
    <w:rsid w:val="00946B02"/>
    <w:rsid w:val="00960004"/>
    <w:rsid w:val="0096237E"/>
    <w:rsid w:val="00967F27"/>
    <w:rsid w:val="00972996"/>
    <w:rsid w:val="009755EB"/>
    <w:rsid w:val="00986651"/>
    <w:rsid w:val="00986BCE"/>
    <w:rsid w:val="009A1A57"/>
    <w:rsid w:val="009B1D58"/>
    <w:rsid w:val="009B51E7"/>
    <w:rsid w:val="009C125E"/>
    <w:rsid w:val="009C7DFC"/>
    <w:rsid w:val="009D1F7B"/>
    <w:rsid w:val="009D4819"/>
    <w:rsid w:val="009D4C5A"/>
    <w:rsid w:val="009D5A39"/>
    <w:rsid w:val="009E57CD"/>
    <w:rsid w:val="009E5988"/>
    <w:rsid w:val="009F0608"/>
    <w:rsid w:val="00A00803"/>
    <w:rsid w:val="00A009EA"/>
    <w:rsid w:val="00A05986"/>
    <w:rsid w:val="00A05E34"/>
    <w:rsid w:val="00A12894"/>
    <w:rsid w:val="00A14ECA"/>
    <w:rsid w:val="00A22BF1"/>
    <w:rsid w:val="00A2393D"/>
    <w:rsid w:val="00A25CBF"/>
    <w:rsid w:val="00A3035D"/>
    <w:rsid w:val="00A304BA"/>
    <w:rsid w:val="00A3185E"/>
    <w:rsid w:val="00A32402"/>
    <w:rsid w:val="00A33EEA"/>
    <w:rsid w:val="00A347A9"/>
    <w:rsid w:val="00A352BD"/>
    <w:rsid w:val="00A419BB"/>
    <w:rsid w:val="00A43E9D"/>
    <w:rsid w:val="00A4673B"/>
    <w:rsid w:val="00A50329"/>
    <w:rsid w:val="00A50D23"/>
    <w:rsid w:val="00A5265C"/>
    <w:rsid w:val="00A527D0"/>
    <w:rsid w:val="00A5498A"/>
    <w:rsid w:val="00A55AA2"/>
    <w:rsid w:val="00A60EDA"/>
    <w:rsid w:val="00A64067"/>
    <w:rsid w:val="00A658BD"/>
    <w:rsid w:val="00A65C79"/>
    <w:rsid w:val="00A67EEE"/>
    <w:rsid w:val="00A75A2F"/>
    <w:rsid w:val="00A805D4"/>
    <w:rsid w:val="00A85A10"/>
    <w:rsid w:val="00A86255"/>
    <w:rsid w:val="00A8796B"/>
    <w:rsid w:val="00A934E2"/>
    <w:rsid w:val="00AA0B13"/>
    <w:rsid w:val="00AA1F36"/>
    <w:rsid w:val="00AA2F8D"/>
    <w:rsid w:val="00AA610F"/>
    <w:rsid w:val="00AA6225"/>
    <w:rsid w:val="00AB3A62"/>
    <w:rsid w:val="00AC0A34"/>
    <w:rsid w:val="00AC3751"/>
    <w:rsid w:val="00AC638B"/>
    <w:rsid w:val="00AD0E55"/>
    <w:rsid w:val="00AD1FDE"/>
    <w:rsid w:val="00AD3AEF"/>
    <w:rsid w:val="00AD6F82"/>
    <w:rsid w:val="00AD7D26"/>
    <w:rsid w:val="00AE13D0"/>
    <w:rsid w:val="00AF1412"/>
    <w:rsid w:val="00AF4A0F"/>
    <w:rsid w:val="00B010B6"/>
    <w:rsid w:val="00B02028"/>
    <w:rsid w:val="00B0339B"/>
    <w:rsid w:val="00B06EE7"/>
    <w:rsid w:val="00B108FF"/>
    <w:rsid w:val="00B10AE8"/>
    <w:rsid w:val="00B1113C"/>
    <w:rsid w:val="00B128D1"/>
    <w:rsid w:val="00B1330D"/>
    <w:rsid w:val="00B13E89"/>
    <w:rsid w:val="00B14EAA"/>
    <w:rsid w:val="00B155BD"/>
    <w:rsid w:val="00B1566E"/>
    <w:rsid w:val="00B15F05"/>
    <w:rsid w:val="00B16F07"/>
    <w:rsid w:val="00B22740"/>
    <w:rsid w:val="00B22CDC"/>
    <w:rsid w:val="00B24E70"/>
    <w:rsid w:val="00B30351"/>
    <w:rsid w:val="00B31781"/>
    <w:rsid w:val="00B31FC2"/>
    <w:rsid w:val="00B3229A"/>
    <w:rsid w:val="00B343D6"/>
    <w:rsid w:val="00B34C8A"/>
    <w:rsid w:val="00B353F2"/>
    <w:rsid w:val="00B36DA5"/>
    <w:rsid w:val="00B36FE7"/>
    <w:rsid w:val="00B41823"/>
    <w:rsid w:val="00B42F8F"/>
    <w:rsid w:val="00B459D3"/>
    <w:rsid w:val="00B51132"/>
    <w:rsid w:val="00B542D4"/>
    <w:rsid w:val="00B551E9"/>
    <w:rsid w:val="00B571D5"/>
    <w:rsid w:val="00B57D05"/>
    <w:rsid w:val="00B60910"/>
    <w:rsid w:val="00B62908"/>
    <w:rsid w:val="00B70393"/>
    <w:rsid w:val="00B71F2C"/>
    <w:rsid w:val="00B7799E"/>
    <w:rsid w:val="00B872D5"/>
    <w:rsid w:val="00B878CB"/>
    <w:rsid w:val="00B9152E"/>
    <w:rsid w:val="00B92F00"/>
    <w:rsid w:val="00B932B5"/>
    <w:rsid w:val="00BA13C2"/>
    <w:rsid w:val="00BA680D"/>
    <w:rsid w:val="00BA781B"/>
    <w:rsid w:val="00BA7BA3"/>
    <w:rsid w:val="00BB0104"/>
    <w:rsid w:val="00BB1DFA"/>
    <w:rsid w:val="00BB3659"/>
    <w:rsid w:val="00BB7E09"/>
    <w:rsid w:val="00BC0BF3"/>
    <w:rsid w:val="00BC1668"/>
    <w:rsid w:val="00BD1C02"/>
    <w:rsid w:val="00BD45CF"/>
    <w:rsid w:val="00BD5358"/>
    <w:rsid w:val="00BD6916"/>
    <w:rsid w:val="00BE0FA6"/>
    <w:rsid w:val="00BE176D"/>
    <w:rsid w:val="00BE4D87"/>
    <w:rsid w:val="00BE5A00"/>
    <w:rsid w:val="00BF0FD7"/>
    <w:rsid w:val="00BF1566"/>
    <w:rsid w:val="00BF43B4"/>
    <w:rsid w:val="00BF737D"/>
    <w:rsid w:val="00C01F18"/>
    <w:rsid w:val="00C03BB8"/>
    <w:rsid w:val="00C03CDE"/>
    <w:rsid w:val="00C05522"/>
    <w:rsid w:val="00C05E10"/>
    <w:rsid w:val="00C10357"/>
    <w:rsid w:val="00C142B7"/>
    <w:rsid w:val="00C16158"/>
    <w:rsid w:val="00C16747"/>
    <w:rsid w:val="00C21CA6"/>
    <w:rsid w:val="00C21FB8"/>
    <w:rsid w:val="00C224DA"/>
    <w:rsid w:val="00C27C49"/>
    <w:rsid w:val="00C30479"/>
    <w:rsid w:val="00C35504"/>
    <w:rsid w:val="00C5621B"/>
    <w:rsid w:val="00C648CE"/>
    <w:rsid w:val="00C6627B"/>
    <w:rsid w:val="00C72E35"/>
    <w:rsid w:val="00C74BFE"/>
    <w:rsid w:val="00C75752"/>
    <w:rsid w:val="00C75A9D"/>
    <w:rsid w:val="00C83C26"/>
    <w:rsid w:val="00C8562E"/>
    <w:rsid w:val="00C868B3"/>
    <w:rsid w:val="00C945E5"/>
    <w:rsid w:val="00C96147"/>
    <w:rsid w:val="00CA05B2"/>
    <w:rsid w:val="00CA1B27"/>
    <w:rsid w:val="00CA4622"/>
    <w:rsid w:val="00CB0827"/>
    <w:rsid w:val="00CB6EBA"/>
    <w:rsid w:val="00CC18F5"/>
    <w:rsid w:val="00CC20C5"/>
    <w:rsid w:val="00CC2A3A"/>
    <w:rsid w:val="00CC5C44"/>
    <w:rsid w:val="00CC75E6"/>
    <w:rsid w:val="00CD5623"/>
    <w:rsid w:val="00CD6201"/>
    <w:rsid w:val="00CD69CA"/>
    <w:rsid w:val="00CD7DB8"/>
    <w:rsid w:val="00CE27E8"/>
    <w:rsid w:val="00CE2A48"/>
    <w:rsid w:val="00CE2D78"/>
    <w:rsid w:val="00CF21A0"/>
    <w:rsid w:val="00CF25A0"/>
    <w:rsid w:val="00CF3C3A"/>
    <w:rsid w:val="00D0133E"/>
    <w:rsid w:val="00D1593B"/>
    <w:rsid w:val="00D26A48"/>
    <w:rsid w:val="00D340C1"/>
    <w:rsid w:val="00D359FF"/>
    <w:rsid w:val="00D35DC0"/>
    <w:rsid w:val="00D377C0"/>
    <w:rsid w:val="00D43BE2"/>
    <w:rsid w:val="00D4577D"/>
    <w:rsid w:val="00D45B90"/>
    <w:rsid w:val="00D470B0"/>
    <w:rsid w:val="00D4730D"/>
    <w:rsid w:val="00D53DC1"/>
    <w:rsid w:val="00D569D0"/>
    <w:rsid w:val="00D57656"/>
    <w:rsid w:val="00D61254"/>
    <w:rsid w:val="00D647D8"/>
    <w:rsid w:val="00D6794F"/>
    <w:rsid w:val="00D679A9"/>
    <w:rsid w:val="00D721FB"/>
    <w:rsid w:val="00D737A8"/>
    <w:rsid w:val="00D8391B"/>
    <w:rsid w:val="00D84064"/>
    <w:rsid w:val="00D865E7"/>
    <w:rsid w:val="00D91DB7"/>
    <w:rsid w:val="00DA710C"/>
    <w:rsid w:val="00DB0AFD"/>
    <w:rsid w:val="00DB0BD3"/>
    <w:rsid w:val="00DB6026"/>
    <w:rsid w:val="00DC7A64"/>
    <w:rsid w:val="00DD1BAF"/>
    <w:rsid w:val="00DD29F9"/>
    <w:rsid w:val="00DD40D3"/>
    <w:rsid w:val="00DE45F2"/>
    <w:rsid w:val="00DE4BC5"/>
    <w:rsid w:val="00DE5D04"/>
    <w:rsid w:val="00DF46B2"/>
    <w:rsid w:val="00E04750"/>
    <w:rsid w:val="00E04851"/>
    <w:rsid w:val="00E11F90"/>
    <w:rsid w:val="00E20ADC"/>
    <w:rsid w:val="00E20E02"/>
    <w:rsid w:val="00E218EB"/>
    <w:rsid w:val="00E22719"/>
    <w:rsid w:val="00E25652"/>
    <w:rsid w:val="00E25CE1"/>
    <w:rsid w:val="00E264F3"/>
    <w:rsid w:val="00E3149A"/>
    <w:rsid w:val="00E41134"/>
    <w:rsid w:val="00E42997"/>
    <w:rsid w:val="00E42FB2"/>
    <w:rsid w:val="00E44BB5"/>
    <w:rsid w:val="00E45698"/>
    <w:rsid w:val="00E51F8D"/>
    <w:rsid w:val="00E604A8"/>
    <w:rsid w:val="00E61860"/>
    <w:rsid w:val="00E7321E"/>
    <w:rsid w:val="00E733E4"/>
    <w:rsid w:val="00E74AE4"/>
    <w:rsid w:val="00E74DA0"/>
    <w:rsid w:val="00E82C4B"/>
    <w:rsid w:val="00E82F40"/>
    <w:rsid w:val="00E863B3"/>
    <w:rsid w:val="00E86C07"/>
    <w:rsid w:val="00E96D52"/>
    <w:rsid w:val="00EA1EF3"/>
    <w:rsid w:val="00EA23E4"/>
    <w:rsid w:val="00EA56E4"/>
    <w:rsid w:val="00EB0B75"/>
    <w:rsid w:val="00EB0DFF"/>
    <w:rsid w:val="00EB6169"/>
    <w:rsid w:val="00EB7666"/>
    <w:rsid w:val="00ED4563"/>
    <w:rsid w:val="00ED6337"/>
    <w:rsid w:val="00EE17A9"/>
    <w:rsid w:val="00EE2701"/>
    <w:rsid w:val="00EE6536"/>
    <w:rsid w:val="00EF6CFA"/>
    <w:rsid w:val="00EF7C39"/>
    <w:rsid w:val="00F02740"/>
    <w:rsid w:val="00F04C0A"/>
    <w:rsid w:val="00F068B5"/>
    <w:rsid w:val="00F06EDF"/>
    <w:rsid w:val="00F070B4"/>
    <w:rsid w:val="00F13868"/>
    <w:rsid w:val="00F1731D"/>
    <w:rsid w:val="00F21783"/>
    <w:rsid w:val="00F21CC0"/>
    <w:rsid w:val="00F243DC"/>
    <w:rsid w:val="00F353A9"/>
    <w:rsid w:val="00F4597F"/>
    <w:rsid w:val="00F45D8C"/>
    <w:rsid w:val="00F663E8"/>
    <w:rsid w:val="00F676F1"/>
    <w:rsid w:val="00F677D8"/>
    <w:rsid w:val="00F7331A"/>
    <w:rsid w:val="00F73575"/>
    <w:rsid w:val="00F73DFA"/>
    <w:rsid w:val="00F73F56"/>
    <w:rsid w:val="00F74EBA"/>
    <w:rsid w:val="00F81DE9"/>
    <w:rsid w:val="00F85D95"/>
    <w:rsid w:val="00F8698F"/>
    <w:rsid w:val="00F90350"/>
    <w:rsid w:val="00F90B80"/>
    <w:rsid w:val="00F923ED"/>
    <w:rsid w:val="00FA41C3"/>
    <w:rsid w:val="00FB3DAD"/>
    <w:rsid w:val="00FC1E42"/>
    <w:rsid w:val="00FC5061"/>
    <w:rsid w:val="00FC5425"/>
    <w:rsid w:val="00FD102F"/>
    <w:rsid w:val="00FE4EAB"/>
    <w:rsid w:val="00FE5AEE"/>
    <w:rsid w:val="00FE6492"/>
    <w:rsid w:val="00FE793F"/>
    <w:rsid w:val="00FF0352"/>
    <w:rsid w:val="00FF0F0C"/>
    <w:rsid w:val="00FF1EFD"/>
    <w:rsid w:val="00FF7F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shapelayout>
  </w:shapeDefaults>
  <w:decimalSymbol w:val=","/>
  <w:listSeparator w:val=";"/>
  <w15:docId w15:val="{C28B2EB5-D700-4C5D-BB4F-11E9C6626C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66399"/>
    <w:rPr>
      <w:rFonts w:ascii="Arial" w:hAnsi="Arial"/>
      <w:sz w:val="24"/>
    </w:rPr>
  </w:style>
  <w:style w:type="paragraph" w:styleId="berschrift1">
    <w:name w:val="heading 1"/>
    <w:basedOn w:val="Standard"/>
    <w:next w:val="Standard"/>
    <w:qFormat/>
    <w:rsid w:val="00566399"/>
    <w:pPr>
      <w:keepNext/>
      <w:tabs>
        <w:tab w:val="left" w:pos="1134"/>
      </w:tabs>
      <w:jc w:val="both"/>
      <w:outlineLvl w:val="0"/>
    </w:pPr>
    <w:rPr>
      <w:b/>
      <w:sz w:val="22"/>
    </w:rPr>
  </w:style>
  <w:style w:type="paragraph" w:styleId="berschrift2">
    <w:name w:val="heading 2"/>
    <w:basedOn w:val="Standard"/>
    <w:next w:val="Standard"/>
    <w:qFormat/>
    <w:rsid w:val="00566399"/>
    <w:pPr>
      <w:keepNext/>
      <w:tabs>
        <w:tab w:val="left" w:pos="1134"/>
      </w:tabs>
      <w:jc w:val="both"/>
      <w:outlineLvl w:val="1"/>
    </w:pPr>
    <w:rPr>
      <w:b/>
    </w:rPr>
  </w:style>
  <w:style w:type="paragraph" w:styleId="berschrift3">
    <w:name w:val="heading 3"/>
    <w:basedOn w:val="Standard"/>
    <w:next w:val="Standard"/>
    <w:qFormat/>
    <w:rsid w:val="00566399"/>
    <w:pPr>
      <w:keepNext/>
      <w:tabs>
        <w:tab w:val="left" w:pos="1134"/>
      </w:tabs>
      <w:spacing w:line="360" w:lineRule="atLeast"/>
      <w:outlineLvl w:val="2"/>
    </w:pPr>
    <w:rPr>
      <w:b/>
      <w:spacing w:val="-8"/>
      <w:sz w:val="22"/>
    </w:rPr>
  </w:style>
  <w:style w:type="paragraph" w:styleId="berschrift4">
    <w:name w:val="heading 4"/>
    <w:basedOn w:val="Standard"/>
    <w:next w:val="Standard"/>
    <w:qFormat/>
    <w:rsid w:val="00566399"/>
    <w:pPr>
      <w:keepNext/>
      <w:spacing w:line="360" w:lineRule="auto"/>
      <w:outlineLvl w:val="3"/>
    </w:pPr>
    <w:rPr>
      <w:b/>
    </w:rPr>
  </w:style>
  <w:style w:type="paragraph" w:styleId="berschrift6">
    <w:name w:val="heading 6"/>
    <w:basedOn w:val="Standard"/>
    <w:next w:val="Standard"/>
    <w:qFormat/>
    <w:rsid w:val="00C75A9D"/>
    <w:pPr>
      <w:spacing w:before="240" w:after="60"/>
      <w:outlineLvl w:val="5"/>
    </w:pPr>
    <w:rPr>
      <w:rFonts w:ascii="Times New Roman" w:hAnsi="Times New Roman"/>
      <w:b/>
      <w:bCs/>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Zeileneinzug">
    <w:name w:val="Body Text Indent"/>
    <w:basedOn w:val="Standard"/>
    <w:rsid w:val="00566399"/>
    <w:pPr>
      <w:spacing w:line="360" w:lineRule="auto"/>
      <w:ind w:left="74"/>
      <w:jc w:val="both"/>
    </w:pPr>
  </w:style>
  <w:style w:type="paragraph" w:styleId="Funotentext">
    <w:name w:val="footnote text"/>
    <w:basedOn w:val="Standard"/>
    <w:link w:val="FunotentextZchn"/>
    <w:uiPriority w:val="99"/>
    <w:semiHidden/>
    <w:rsid w:val="00566399"/>
    <w:rPr>
      <w:sz w:val="20"/>
    </w:rPr>
  </w:style>
  <w:style w:type="character" w:styleId="Funotenzeichen">
    <w:name w:val="footnote reference"/>
    <w:basedOn w:val="Absatz-Standardschriftart"/>
    <w:uiPriority w:val="99"/>
    <w:semiHidden/>
    <w:rsid w:val="00566399"/>
    <w:rPr>
      <w:vertAlign w:val="superscript"/>
    </w:rPr>
  </w:style>
  <w:style w:type="paragraph" w:styleId="Fuzeile">
    <w:name w:val="footer"/>
    <w:basedOn w:val="Standard"/>
    <w:rsid w:val="00566399"/>
    <w:pPr>
      <w:tabs>
        <w:tab w:val="center" w:pos="4536"/>
        <w:tab w:val="right" w:pos="9072"/>
      </w:tabs>
    </w:pPr>
  </w:style>
  <w:style w:type="character" w:styleId="Seitenzahl">
    <w:name w:val="page number"/>
    <w:basedOn w:val="Absatz-Standardschriftart"/>
    <w:rsid w:val="00566399"/>
  </w:style>
  <w:style w:type="paragraph" w:styleId="Textkrper">
    <w:name w:val="Body Text"/>
    <w:basedOn w:val="Standard"/>
    <w:rsid w:val="00566399"/>
    <w:pPr>
      <w:jc w:val="both"/>
    </w:pPr>
  </w:style>
  <w:style w:type="paragraph" w:styleId="Kopfzeile">
    <w:name w:val="header"/>
    <w:basedOn w:val="Standard"/>
    <w:link w:val="KopfzeileZchn"/>
    <w:rsid w:val="00566399"/>
    <w:pPr>
      <w:tabs>
        <w:tab w:val="center" w:pos="4536"/>
        <w:tab w:val="right" w:pos="9072"/>
      </w:tabs>
    </w:pPr>
    <w:rPr>
      <w:sz w:val="22"/>
    </w:rPr>
  </w:style>
  <w:style w:type="paragraph" w:styleId="Textkrper2">
    <w:name w:val="Body Text 2"/>
    <w:basedOn w:val="Standard"/>
    <w:rsid w:val="00566399"/>
    <w:pPr>
      <w:jc w:val="both"/>
    </w:pPr>
    <w:rPr>
      <w:rFonts w:ascii="Lucida Sans Unicode" w:hAnsi="Lucida Sans Unicode"/>
      <w:sz w:val="22"/>
    </w:rPr>
  </w:style>
  <w:style w:type="paragraph" w:styleId="Sprechblasentext">
    <w:name w:val="Balloon Text"/>
    <w:basedOn w:val="Standard"/>
    <w:semiHidden/>
    <w:rsid w:val="009D4819"/>
    <w:rPr>
      <w:rFonts w:ascii="Tahoma" w:hAnsi="Tahoma" w:cs="Tahoma"/>
      <w:sz w:val="16"/>
      <w:szCs w:val="16"/>
    </w:rPr>
  </w:style>
  <w:style w:type="character" w:styleId="Fett">
    <w:name w:val="Strong"/>
    <w:basedOn w:val="Absatz-Standardschriftart"/>
    <w:qFormat/>
    <w:rsid w:val="00C75A9D"/>
    <w:rPr>
      <w:b/>
    </w:rPr>
  </w:style>
  <w:style w:type="paragraph" w:customStyle="1" w:styleId="KeinAbsatzformat">
    <w:name w:val="[Kein Absatzformat]"/>
    <w:rsid w:val="00C75A9D"/>
    <w:pPr>
      <w:autoSpaceDE w:val="0"/>
      <w:autoSpaceDN w:val="0"/>
      <w:adjustRightInd w:val="0"/>
      <w:spacing w:line="288" w:lineRule="auto"/>
      <w:textAlignment w:val="center"/>
    </w:pPr>
    <w:rPr>
      <w:rFonts w:ascii="Times Regular" w:eastAsia="MS Mincho" w:hAnsi="Times Regular" w:cs="Times Regular"/>
      <w:color w:val="000000"/>
      <w:sz w:val="24"/>
      <w:szCs w:val="24"/>
    </w:rPr>
  </w:style>
  <w:style w:type="paragraph" w:customStyle="1" w:styleId="01SubheadBlau">
    <w:name w:val="01_Subhead_Blau"/>
    <w:basedOn w:val="KeinAbsatzformat"/>
    <w:rsid w:val="00C75A9D"/>
    <w:pPr>
      <w:tabs>
        <w:tab w:val="left" w:pos="227"/>
      </w:tabs>
      <w:spacing w:line="290" w:lineRule="atLeast"/>
    </w:pPr>
    <w:rPr>
      <w:rFonts w:ascii="Frutiger LT Pro 45 Light" w:hAnsi="Frutiger LT Pro 45 Light" w:cs="Frutiger LT Pro 45 Light"/>
      <w:b/>
      <w:bCs/>
      <w:color w:val="006AAB"/>
      <w:spacing w:val="3"/>
      <w:sz w:val="18"/>
      <w:szCs w:val="18"/>
    </w:rPr>
  </w:style>
  <w:style w:type="character" w:customStyle="1" w:styleId="KopfzeileZchn">
    <w:name w:val="Kopfzeile Zchn"/>
    <w:basedOn w:val="Absatz-Standardschriftart"/>
    <w:link w:val="Kopfzeile"/>
    <w:rsid w:val="006503A7"/>
    <w:rPr>
      <w:rFonts w:ascii="Arial" w:hAnsi="Arial"/>
      <w:sz w:val="22"/>
      <w:lang w:val="en-GB" w:eastAsia="en-GB"/>
    </w:rPr>
  </w:style>
  <w:style w:type="paragraph" w:customStyle="1" w:styleId="berschriftI">
    <w:name w:val="Überschrift I"/>
    <w:basedOn w:val="Standard"/>
    <w:link w:val="berschriftIZchn"/>
    <w:qFormat/>
    <w:rsid w:val="00B15F05"/>
    <w:pPr>
      <w:spacing w:after="120" w:line="360" w:lineRule="auto"/>
      <w:jc w:val="both"/>
    </w:pPr>
    <w:rPr>
      <w:rFonts w:eastAsiaTheme="minorHAnsi" w:cs="Arial"/>
      <w:b/>
      <w:caps/>
      <w:color w:val="0070C0"/>
      <w:spacing w:val="20"/>
      <w:szCs w:val="24"/>
    </w:rPr>
  </w:style>
  <w:style w:type="character" w:customStyle="1" w:styleId="berschriftIZchn">
    <w:name w:val="Überschrift I Zchn"/>
    <w:basedOn w:val="Absatz-Standardschriftart"/>
    <w:link w:val="berschriftI"/>
    <w:rsid w:val="00B15F05"/>
    <w:rPr>
      <w:rFonts w:ascii="Arial" w:eastAsiaTheme="minorHAnsi" w:hAnsi="Arial" w:cs="Arial"/>
      <w:b/>
      <w:caps/>
      <w:color w:val="0070C0"/>
      <w:spacing w:val="20"/>
      <w:sz w:val="24"/>
      <w:szCs w:val="24"/>
      <w:lang w:val="en-GB"/>
    </w:rPr>
  </w:style>
  <w:style w:type="paragraph" w:customStyle="1" w:styleId="berschriftII">
    <w:name w:val="Überschrift II"/>
    <w:basedOn w:val="Standard"/>
    <w:link w:val="berschriftIIZchn"/>
    <w:qFormat/>
    <w:rsid w:val="00B15F05"/>
    <w:pPr>
      <w:spacing w:after="120" w:line="360" w:lineRule="auto"/>
      <w:jc w:val="both"/>
    </w:pPr>
    <w:rPr>
      <w:rFonts w:eastAsiaTheme="minorHAnsi" w:cs="Arial"/>
      <w:b/>
      <w:caps/>
      <w:sz w:val="20"/>
    </w:rPr>
  </w:style>
  <w:style w:type="character" w:customStyle="1" w:styleId="berschriftIIZchn">
    <w:name w:val="Überschrift II Zchn"/>
    <w:basedOn w:val="Absatz-Standardschriftart"/>
    <w:link w:val="berschriftII"/>
    <w:rsid w:val="00B15F05"/>
    <w:rPr>
      <w:rFonts w:ascii="Arial" w:eastAsiaTheme="minorHAnsi" w:hAnsi="Arial" w:cs="Arial"/>
      <w:b/>
      <w:caps/>
      <w:lang w:val="en-GB"/>
    </w:rPr>
  </w:style>
  <w:style w:type="character" w:customStyle="1" w:styleId="st">
    <w:name w:val="st"/>
    <w:basedOn w:val="Absatz-Standardschriftart"/>
    <w:rsid w:val="00F1731D"/>
  </w:style>
  <w:style w:type="character" w:customStyle="1" w:styleId="FunotentextZchn">
    <w:name w:val="Fußnotentext Zchn"/>
    <w:basedOn w:val="Absatz-Standardschriftart"/>
    <w:link w:val="Funotentext"/>
    <w:uiPriority w:val="99"/>
    <w:semiHidden/>
    <w:rsid w:val="00AB3A62"/>
    <w:rPr>
      <w:rFonts w:ascii="Arial" w:hAnsi="Arial"/>
      <w:lang w:val="en-GB" w:eastAsia="en-GB"/>
    </w:rPr>
  </w:style>
  <w:style w:type="paragraph" w:styleId="Listenabsatz">
    <w:name w:val="List Paragraph"/>
    <w:basedOn w:val="Standard"/>
    <w:uiPriority w:val="34"/>
    <w:qFormat/>
    <w:rsid w:val="00624ED3"/>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7ECDD8-E390-403D-A176-A2A2C51113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629</Words>
  <Characters>3963</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Zwischenmitteilung über das erste Quartal 2007</vt:lpstr>
    </vt:vector>
  </TitlesOfParts>
  <Company>KSB</Company>
  <LinksUpToDate>false</LinksUpToDate>
  <CharactersWithSpaces>4583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Zwischenmitteilung über das erste Quartal 2007</dc:title>
  <dc:creator>Ullrich Bingenheimer</dc:creator>
  <cp:lastModifiedBy>Steffel, Lena</cp:lastModifiedBy>
  <cp:revision>2</cp:revision>
  <cp:lastPrinted>2015-01-29T13:55:00Z</cp:lastPrinted>
  <dcterms:created xsi:type="dcterms:W3CDTF">2021-03-09T09:30:00Z</dcterms:created>
  <dcterms:modified xsi:type="dcterms:W3CDTF">2021-03-09T09:30:00Z</dcterms:modified>
</cp:coreProperties>
</file>