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59FFB5" w14:textId="77777777" w:rsidR="007D56FE" w:rsidRPr="00BD5037" w:rsidRDefault="007D56FE" w:rsidP="00DF26EA">
      <w:pPr>
        <w:jc w:val="both"/>
        <w:rPr>
          <w:b/>
          <w:sz w:val="24"/>
          <w:szCs w:val="24"/>
        </w:rPr>
      </w:pPr>
      <w:bookmarkStart w:id="0" w:name="_GoBack"/>
      <w:bookmarkEnd w:id="0"/>
      <w:r w:rsidRPr="00BD5037">
        <w:rPr>
          <w:b/>
          <w:sz w:val="24"/>
          <w:szCs w:val="24"/>
        </w:rPr>
        <w:t>Absperrklappen für Leben</w:t>
      </w:r>
      <w:r w:rsidR="00BD5037" w:rsidRPr="00BD5037">
        <w:rPr>
          <w:b/>
          <w:sz w:val="24"/>
          <w:szCs w:val="24"/>
        </w:rPr>
        <w:t>s</w:t>
      </w:r>
      <w:r w:rsidRPr="00BD5037">
        <w:rPr>
          <w:b/>
          <w:sz w:val="24"/>
          <w:szCs w:val="24"/>
        </w:rPr>
        <w:t>mitteleinsatz</w:t>
      </w:r>
    </w:p>
    <w:p w14:paraId="51B3776E" w14:textId="77777777" w:rsidR="007D56FE" w:rsidRPr="00BD5037" w:rsidRDefault="007D56FE" w:rsidP="00DF26EA">
      <w:pPr>
        <w:jc w:val="both"/>
        <w:rPr>
          <w:sz w:val="24"/>
          <w:szCs w:val="24"/>
        </w:rPr>
      </w:pPr>
    </w:p>
    <w:p w14:paraId="5A127287" w14:textId="154D921D" w:rsidR="000C574E" w:rsidRDefault="00A35145" w:rsidP="000C574E">
      <w:pPr>
        <w:jc w:val="both"/>
        <w:rPr>
          <w:sz w:val="24"/>
          <w:szCs w:val="24"/>
        </w:rPr>
      </w:pPr>
      <w:r w:rsidRPr="00BD5037">
        <w:rPr>
          <w:sz w:val="24"/>
          <w:szCs w:val="24"/>
        </w:rPr>
        <w:t xml:space="preserve">Anfang Mai </w:t>
      </w:r>
      <w:r w:rsidR="00C0038C" w:rsidRPr="00BD5037">
        <w:rPr>
          <w:sz w:val="24"/>
          <w:szCs w:val="24"/>
        </w:rPr>
        <w:t xml:space="preserve">2019 </w:t>
      </w:r>
      <w:r w:rsidRPr="00BD5037">
        <w:rPr>
          <w:sz w:val="24"/>
          <w:szCs w:val="24"/>
        </w:rPr>
        <w:t>hat die zur KSB</w:t>
      </w:r>
      <w:r w:rsidR="00DF26EA" w:rsidRPr="00BD5037">
        <w:rPr>
          <w:sz w:val="24"/>
          <w:szCs w:val="24"/>
        </w:rPr>
        <w:t>-</w:t>
      </w:r>
      <w:r w:rsidRPr="00BD5037">
        <w:rPr>
          <w:sz w:val="24"/>
          <w:szCs w:val="24"/>
        </w:rPr>
        <w:t>Gruppe gehörende KSB SAS für ihre Absperrklappen</w:t>
      </w:r>
      <w:r w:rsidR="004F5378">
        <w:rPr>
          <w:sz w:val="24"/>
          <w:szCs w:val="24"/>
        </w:rPr>
        <w:t>-</w:t>
      </w:r>
      <w:r w:rsidRPr="00BD5037">
        <w:rPr>
          <w:sz w:val="24"/>
          <w:szCs w:val="24"/>
        </w:rPr>
        <w:t xml:space="preserve">Baureihe </w:t>
      </w:r>
      <w:r w:rsidR="000C574E" w:rsidRPr="00B415D9">
        <w:rPr>
          <w:sz w:val="24"/>
          <w:szCs w:val="24"/>
        </w:rPr>
        <w:t>I</w:t>
      </w:r>
      <w:r w:rsidR="00453439">
        <w:rPr>
          <w:sz w:val="24"/>
          <w:szCs w:val="24"/>
        </w:rPr>
        <w:t>SORIA</w:t>
      </w:r>
      <w:r w:rsidRPr="000C574E">
        <w:rPr>
          <w:color w:val="FF0000"/>
          <w:sz w:val="24"/>
          <w:szCs w:val="24"/>
        </w:rPr>
        <w:t xml:space="preserve"> </w:t>
      </w:r>
      <w:r w:rsidRPr="00BD5037">
        <w:rPr>
          <w:sz w:val="24"/>
          <w:szCs w:val="24"/>
        </w:rPr>
        <w:t xml:space="preserve">einen neuen </w:t>
      </w:r>
      <w:r w:rsidR="00772CA1" w:rsidRPr="00BD5037">
        <w:rPr>
          <w:sz w:val="24"/>
          <w:szCs w:val="24"/>
        </w:rPr>
        <w:t xml:space="preserve">Ringbalgtyp auf den Markt gebracht. Dieser wird aus hydriertem Acrylnitrilbutadien-Kautschuk (HNBR) hergestellt und ist </w:t>
      </w:r>
      <w:r w:rsidRPr="00BD5037">
        <w:rPr>
          <w:sz w:val="24"/>
          <w:szCs w:val="24"/>
        </w:rPr>
        <w:t xml:space="preserve">gemäß </w:t>
      </w:r>
      <w:r w:rsidR="00772CA1" w:rsidRPr="00BD5037">
        <w:rPr>
          <w:sz w:val="24"/>
          <w:szCs w:val="24"/>
        </w:rPr>
        <w:t xml:space="preserve">den Vorgaben </w:t>
      </w:r>
      <w:r w:rsidR="00BD5037" w:rsidRPr="00BD5037">
        <w:rPr>
          <w:sz w:val="24"/>
          <w:szCs w:val="24"/>
        </w:rPr>
        <w:t>der europäischen Lebensmittelverordnung</w:t>
      </w:r>
      <w:r w:rsidR="00772CA1" w:rsidRPr="00BD5037">
        <w:rPr>
          <w:sz w:val="24"/>
          <w:szCs w:val="24"/>
        </w:rPr>
        <w:t xml:space="preserve"> (EG) 1935/2004 zertifiziert</w:t>
      </w:r>
      <w:r w:rsidR="004F5378">
        <w:rPr>
          <w:sz w:val="24"/>
          <w:szCs w:val="24"/>
        </w:rPr>
        <w:t>.</w:t>
      </w:r>
      <w:r w:rsidR="000C574E" w:rsidRPr="000C574E">
        <w:rPr>
          <w:sz w:val="24"/>
          <w:szCs w:val="24"/>
        </w:rPr>
        <w:t xml:space="preserve"> </w:t>
      </w:r>
      <w:r w:rsidR="000C574E">
        <w:rPr>
          <w:sz w:val="24"/>
          <w:szCs w:val="24"/>
        </w:rPr>
        <w:t>Die</w:t>
      </w:r>
      <w:r w:rsidR="000C574E" w:rsidRPr="00BD5037">
        <w:rPr>
          <w:sz w:val="24"/>
          <w:szCs w:val="24"/>
        </w:rPr>
        <w:t xml:space="preserve"> neue Zulassung erweiter</w:t>
      </w:r>
      <w:r w:rsidR="00E85189">
        <w:rPr>
          <w:sz w:val="24"/>
          <w:szCs w:val="24"/>
        </w:rPr>
        <w:t>t</w:t>
      </w:r>
      <w:r w:rsidR="000C574E" w:rsidRPr="00BD5037">
        <w:rPr>
          <w:sz w:val="24"/>
          <w:szCs w:val="24"/>
        </w:rPr>
        <w:t xml:space="preserve"> die Einsatzmöglichkeiten der Baureihe, die bereits nach FDA (USA, </w:t>
      </w:r>
      <w:r w:rsidR="000C574E" w:rsidRPr="00BD5037">
        <w:rPr>
          <w:color w:val="222222"/>
          <w:sz w:val="24"/>
          <w:szCs w:val="24"/>
          <w:shd w:val="clear" w:color="auto" w:fill="FFFFFF"/>
        </w:rPr>
        <w:t>Food and Drug Administration)</w:t>
      </w:r>
      <w:r w:rsidR="000C574E" w:rsidRPr="00BD5037">
        <w:rPr>
          <w:sz w:val="24"/>
          <w:szCs w:val="24"/>
        </w:rPr>
        <w:t xml:space="preserve"> zugelassen ist.</w:t>
      </w:r>
      <w:r w:rsidR="000C574E">
        <w:rPr>
          <w:sz w:val="24"/>
          <w:szCs w:val="24"/>
        </w:rPr>
        <w:t xml:space="preserve"> </w:t>
      </w:r>
    </w:p>
    <w:p w14:paraId="00706D43" w14:textId="6669F660" w:rsidR="000C574E" w:rsidRDefault="000C574E" w:rsidP="000C574E">
      <w:pPr>
        <w:jc w:val="both"/>
        <w:rPr>
          <w:sz w:val="24"/>
          <w:szCs w:val="24"/>
        </w:rPr>
      </w:pPr>
    </w:p>
    <w:p w14:paraId="11E51E4C" w14:textId="099B5E43" w:rsidR="00772CA1" w:rsidRPr="00BD5037" w:rsidRDefault="00772CA1" w:rsidP="00772CA1">
      <w:pPr>
        <w:jc w:val="both"/>
        <w:rPr>
          <w:sz w:val="24"/>
          <w:szCs w:val="24"/>
        </w:rPr>
      </w:pPr>
      <w:r w:rsidRPr="00BD5037">
        <w:rPr>
          <w:sz w:val="24"/>
          <w:szCs w:val="24"/>
        </w:rPr>
        <w:t xml:space="preserve">Der Ringbalg NH (HNBR) </w:t>
      </w:r>
      <w:r w:rsidRPr="00736FF8">
        <w:rPr>
          <w:sz w:val="24"/>
          <w:szCs w:val="24"/>
        </w:rPr>
        <w:t>eignet sich</w:t>
      </w:r>
      <w:r w:rsidRPr="00BD5037">
        <w:rPr>
          <w:sz w:val="24"/>
          <w:szCs w:val="24"/>
        </w:rPr>
        <w:t xml:space="preserve"> für alle Lebensmittelanwen</w:t>
      </w:r>
      <w:r w:rsidRPr="00BD5037">
        <w:rPr>
          <w:sz w:val="24"/>
          <w:szCs w:val="24"/>
        </w:rPr>
        <w:softHyphen/>
        <w:t>dungen, bei denen tierische, pflanzliche oder mineralisch</w:t>
      </w:r>
      <w:r w:rsidR="00E85189">
        <w:rPr>
          <w:sz w:val="24"/>
          <w:szCs w:val="24"/>
        </w:rPr>
        <w:t>e</w:t>
      </w:r>
      <w:r w:rsidRPr="00BD5037">
        <w:rPr>
          <w:sz w:val="24"/>
          <w:szCs w:val="24"/>
        </w:rPr>
        <w:t xml:space="preserve"> Öle sowie saure flüssige Produkte verarbeitet werden.</w:t>
      </w:r>
      <w:r w:rsidR="00BD5037" w:rsidRPr="00BD5037">
        <w:rPr>
          <w:sz w:val="24"/>
          <w:szCs w:val="24"/>
        </w:rPr>
        <w:t xml:space="preserve"> </w:t>
      </w:r>
      <w:r w:rsidRPr="00BD5037">
        <w:rPr>
          <w:sz w:val="24"/>
          <w:szCs w:val="24"/>
        </w:rPr>
        <w:t>Er ist kohlenwasserstoffbeständig und auch für den Einsatz in feststoffhaltigen Flüssigkeiten</w:t>
      </w:r>
      <w:r w:rsidR="00736FF8">
        <w:rPr>
          <w:sz w:val="24"/>
          <w:szCs w:val="24"/>
        </w:rPr>
        <w:t xml:space="preserve"> geeignet</w:t>
      </w:r>
      <w:r w:rsidR="004F5378">
        <w:rPr>
          <w:sz w:val="24"/>
          <w:szCs w:val="24"/>
        </w:rPr>
        <w:t>,</w:t>
      </w:r>
      <w:r w:rsidRPr="00BD5037">
        <w:rPr>
          <w:sz w:val="24"/>
          <w:szCs w:val="24"/>
        </w:rPr>
        <w:t xml:space="preserve"> da er sehr abrasionsfest ist.</w:t>
      </w:r>
      <w:r w:rsidR="00BD5037" w:rsidRPr="00BD5037">
        <w:rPr>
          <w:sz w:val="24"/>
          <w:szCs w:val="24"/>
        </w:rPr>
        <w:t xml:space="preserve"> </w:t>
      </w:r>
      <w:r w:rsidRPr="00BD5037">
        <w:rPr>
          <w:sz w:val="24"/>
          <w:szCs w:val="24"/>
        </w:rPr>
        <w:t>Durch die selektive Hydrierung von Nitril-</w:t>
      </w:r>
      <w:r w:rsidRPr="00E85189">
        <w:rPr>
          <w:bCs/>
          <w:sz w:val="24"/>
          <w:szCs w:val="24"/>
        </w:rPr>
        <w:t>Kautschuk</w:t>
      </w:r>
      <w:r w:rsidRPr="00BD5037">
        <w:rPr>
          <w:sz w:val="24"/>
          <w:szCs w:val="24"/>
        </w:rPr>
        <w:t xml:space="preserve"> (NBR) wird die Temperaturbeständigkeit des HNBR deutlich erhöht. Absperrklap</w:t>
      </w:r>
      <w:r w:rsidR="00F4567D" w:rsidRPr="00BD5037">
        <w:rPr>
          <w:sz w:val="24"/>
          <w:szCs w:val="24"/>
        </w:rPr>
        <w:t>p</w:t>
      </w:r>
      <w:r w:rsidRPr="00BD5037">
        <w:rPr>
          <w:sz w:val="24"/>
          <w:szCs w:val="24"/>
        </w:rPr>
        <w:t>en</w:t>
      </w:r>
      <w:r w:rsidR="004F5378">
        <w:rPr>
          <w:sz w:val="24"/>
          <w:szCs w:val="24"/>
        </w:rPr>
        <w:t>,</w:t>
      </w:r>
      <w:r w:rsidRPr="00BD5037">
        <w:rPr>
          <w:sz w:val="24"/>
          <w:szCs w:val="24"/>
        </w:rPr>
        <w:t xml:space="preserve"> die </w:t>
      </w:r>
      <w:r w:rsidR="004F5378">
        <w:rPr>
          <w:sz w:val="24"/>
          <w:szCs w:val="24"/>
        </w:rPr>
        <w:t>über</w:t>
      </w:r>
      <w:r w:rsidR="004F5378" w:rsidRPr="00BD5037">
        <w:rPr>
          <w:sz w:val="24"/>
          <w:szCs w:val="24"/>
        </w:rPr>
        <w:t xml:space="preserve"> </w:t>
      </w:r>
      <w:r w:rsidRPr="00BD5037">
        <w:rPr>
          <w:sz w:val="24"/>
          <w:szCs w:val="24"/>
        </w:rPr>
        <w:t>Rin</w:t>
      </w:r>
      <w:r w:rsidR="00F4567D" w:rsidRPr="00BD5037">
        <w:rPr>
          <w:sz w:val="24"/>
          <w:szCs w:val="24"/>
        </w:rPr>
        <w:t>g</w:t>
      </w:r>
      <w:r w:rsidRPr="00BD5037">
        <w:rPr>
          <w:sz w:val="24"/>
          <w:szCs w:val="24"/>
        </w:rPr>
        <w:t>bälge</w:t>
      </w:r>
      <w:r w:rsidR="004F5378">
        <w:rPr>
          <w:sz w:val="24"/>
          <w:szCs w:val="24"/>
        </w:rPr>
        <w:t xml:space="preserve"> verfügen</w:t>
      </w:r>
      <w:r w:rsidRPr="00BD5037">
        <w:rPr>
          <w:sz w:val="24"/>
          <w:szCs w:val="24"/>
        </w:rPr>
        <w:t xml:space="preserve">, die nach der neuen Rezeptur (NH) hergestellt </w:t>
      </w:r>
      <w:r w:rsidR="004F5378">
        <w:rPr>
          <w:sz w:val="24"/>
          <w:szCs w:val="24"/>
        </w:rPr>
        <w:t>wurden,</w:t>
      </w:r>
      <w:r w:rsidR="004F5378" w:rsidRPr="00BD5037">
        <w:rPr>
          <w:sz w:val="24"/>
          <w:szCs w:val="24"/>
        </w:rPr>
        <w:t xml:space="preserve"> </w:t>
      </w:r>
      <w:r w:rsidRPr="00BD5037">
        <w:rPr>
          <w:sz w:val="24"/>
          <w:szCs w:val="24"/>
        </w:rPr>
        <w:t xml:space="preserve">kann man in flüssigen Medien bis zu einer Maximaltemperatur von </w:t>
      </w:r>
      <w:r w:rsidR="000C574E" w:rsidRPr="003A3402">
        <w:rPr>
          <w:sz w:val="24"/>
          <w:szCs w:val="24"/>
        </w:rPr>
        <w:t xml:space="preserve">150 °C </w:t>
      </w:r>
      <w:r w:rsidRPr="00BD5037">
        <w:rPr>
          <w:sz w:val="24"/>
          <w:szCs w:val="24"/>
        </w:rPr>
        <w:t>einsetzen.</w:t>
      </w:r>
    </w:p>
    <w:p w14:paraId="1DC80435" w14:textId="77777777" w:rsidR="0009190F" w:rsidRPr="00BD5037" w:rsidRDefault="0009190F" w:rsidP="00DF26EA">
      <w:pPr>
        <w:jc w:val="both"/>
        <w:rPr>
          <w:sz w:val="24"/>
          <w:szCs w:val="24"/>
        </w:rPr>
      </w:pPr>
    </w:p>
    <w:p w14:paraId="0342204C" w14:textId="19928767" w:rsidR="00C0038C" w:rsidRPr="00332642" w:rsidRDefault="000C574E" w:rsidP="00453439">
      <w:pPr>
        <w:jc w:val="both"/>
        <w:rPr>
          <w:color w:val="000000"/>
          <w:sz w:val="24"/>
          <w:szCs w:val="24"/>
          <w:lang w:val="x-none" w:eastAsia="en-US"/>
        </w:rPr>
      </w:pPr>
      <w:r w:rsidRPr="00BD5037">
        <w:rPr>
          <w:sz w:val="24"/>
          <w:szCs w:val="24"/>
        </w:rPr>
        <w:t xml:space="preserve">Die zentrisch gelagerte weichdichtende Baureihe </w:t>
      </w:r>
      <w:r w:rsidRPr="003A3402">
        <w:rPr>
          <w:sz w:val="24"/>
          <w:szCs w:val="24"/>
        </w:rPr>
        <w:t>Isoria</w:t>
      </w:r>
      <w:r w:rsidRPr="00BD5037">
        <w:rPr>
          <w:sz w:val="24"/>
          <w:szCs w:val="24"/>
        </w:rPr>
        <w:t xml:space="preserve"> ist in den Nennweiten DN 40 bis DN 1000 lieferbar. </w:t>
      </w:r>
      <w:r w:rsidR="00C0038C" w:rsidRPr="00BD5037">
        <w:rPr>
          <w:color w:val="000000"/>
          <w:sz w:val="24"/>
          <w:szCs w:val="24"/>
          <w:lang w:val="x-none" w:eastAsia="en-US"/>
        </w:rPr>
        <w:t xml:space="preserve">KSB </w:t>
      </w:r>
      <w:r w:rsidR="00C0038C" w:rsidRPr="00BD5037">
        <w:rPr>
          <w:color w:val="000000"/>
          <w:sz w:val="24"/>
          <w:szCs w:val="24"/>
          <w:lang w:eastAsia="en-US"/>
        </w:rPr>
        <w:t xml:space="preserve">stellt für den </w:t>
      </w:r>
      <w:r w:rsidR="00C0038C" w:rsidRPr="00BD5037">
        <w:rPr>
          <w:color w:val="000000"/>
          <w:sz w:val="24"/>
          <w:szCs w:val="24"/>
          <w:lang w:val="x-none" w:eastAsia="en-US"/>
        </w:rPr>
        <w:t xml:space="preserve">Lebensmittelbereich </w:t>
      </w:r>
      <w:r w:rsidR="00C0038C" w:rsidRPr="00BD5037">
        <w:rPr>
          <w:color w:val="000000"/>
          <w:sz w:val="24"/>
          <w:szCs w:val="24"/>
          <w:lang w:eastAsia="en-US"/>
        </w:rPr>
        <w:t xml:space="preserve">noch weitere </w:t>
      </w:r>
      <w:r w:rsidR="004F5378" w:rsidRPr="00BD5037">
        <w:rPr>
          <w:color w:val="000000"/>
          <w:sz w:val="24"/>
          <w:szCs w:val="24"/>
          <w:lang w:val="x-none" w:eastAsia="en-US"/>
        </w:rPr>
        <w:t>Ringbalg</w:t>
      </w:r>
      <w:r w:rsidR="004F5378" w:rsidRPr="00BD5037">
        <w:rPr>
          <w:color w:val="000000"/>
          <w:sz w:val="24"/>
          <w:szCs w:val="24"/>
          <w:lang w:val="x-none" w:eastAsia="en-US"/>
        </w:rPr>
        <w:softHyphen/>
      </w:r>
      <w:r w:rsidR="004F5378">
        <w:rPr>
          <w:color w:val="000000"/>
          <w:sz w:val="24"/>
          <w:szCs w:val="24"/>
          <w:lang w:eastAsia="en-US"/>
        </w:rPr>
        <w:t>werkstoffe</w:t>
      </w:r>
      <w:r w:rsidR="004F5378" w:rsidRPr="00BD5037">
        <w:rPr>
          <w:color w:val="000000"/>
          <w:sz w:val="24"/>
          <w:szCs w:val="24"/>
          <w:lang w:val="x-none" w:eastAsia="en-US"/>
        </w:rPr>
        <w:t xml:space="preserve"> </w:t>
      </w:r>
      <w:r w:rsidR="00C0038C" w:rsidRPr="00BD5037">
        <w:rPr>
          <w:color w:val="000000"/>
          <w:sz w:val="24"/>
          <w:szCs w:val="24"/>
          <w:lang w:eastAsia="en-US"/>
        </w:rPr>
        <w:t xml:space="preserve">her, </w:t>
      </w:r>
      <w:r w:rsidR="00C0038C" w:rsidRPr="00BD5037">
        <w:rPr>
          <w:color w:val="000000"/>
          <w:sz w:val="24"/>
          <w:szCs w:val="24"/>
          <w:lang w:val="x-none" w:eastAsia="en-US"/>
        </w:rPr>
        <w:t xml:space="preserve">die verschiedenen Vorgaben der Verordnung </w:t>
      </w:r>
      <w:r w:rsidR="001A365C" w:rsidRPr="00BD5037">
        <w:rPr>
          <w:color w:val="000000"/>
          <w:sz w:val="24"/>
          <w:szCs w:val="24"/>
          <w:lang w:eastAsia="en-US"/>
        </w:rPr>
        <w:t xml:space="preserve">(EG) </w:t>
      </w:r>
      <w:r w:rsidR="00C0038C" w:rsidRPr="00BD5037">
        <w:rPr>
          <w:color w:val="000000"/>
          <w:sz w:val="24"/>
          <w:szCs w:val="24"/>
          <w:lang w:val="x-none" w:eastAsia="en-US"/>
        </w:rPr>
        <w:t>1935/2004 und der FDA</w:t>
      </w:r>
      <w:r w:rsidR="00B45CA7" w:rsidRPr="00BD5037">
        <w:rPr>
          <w:color w:val="000000"/>
          <w:sz w:val="24"/>
          <w:szCs w:val="24"/>
          <w:lang w:eastAsia="en-US"/>
        </w:rPr>
        <w:t xml:space="preserve"> entspreche</w:t>
      </w:r>
      <w:r w:rsidR="00817991">
        <w:rPr>
          <w:color w:val="000000"/>
          <w:sz w:val="24"/>
          <w:szCs w:val="24"/>
          <w:lang w:eastAsia="en-US"/>
        </w:rPr>
        <w:t>n</w:t>
      </w:r>
      <w:r w:rsidR="00B45CA7" w:rsidRPr="00BD5037">
        <w:rPr>
          <w:color w:val="000000"/>
          <w:sz w:val="24"/>
          <w:szCs w:val="24"/>
          <w:lang w:eastAsia="en-US"/>
        </w:rPr>
        <w:t>. Z</w:t>
      </w:r>
      <w:r w:rsidR="00C0038C" w:rsidRPr="00BD5037">
        <w:rPr>
          <w:color w:val="000000"/>
          <w:sz w:val="24"/>
          <w:szCs w:val="24"/>
          <w:lang w:val="x-none" w:eastAsia="en-US"/>
        </w:rPr>
        <w:t xml:space="preserve">um Beispiel </w:t>
      </w:r>
      <w:r w:rsidR="00B45CA7" w:rsidRPr="00BD5037">
        <w:rPr>
          <w:color w:val="000000"/>
          <w:sz w:val="24"/>
          <w:szCs w:val="24"/>
          <w:lang w:eastAsia="en-US"/>
        </w:rPr>
        <w:t xml:space="preserve">sind </w:t>
      </w:r>
      <w:r w:rsidR="00C0038C" w:rsidRPr="00BD5037">
        <w:rPr>
          <w:color w:val="000000"/>
          <w:sz w:val="24"/>
          <w:szCs w:val="24"/>
          <w:lang w:val="x-none" w:eastAsia="en-US"/>
        </w:rPr>
        <w:t>Ringbälge aus EPDM</w:t>
      </w:r>
      <w:r w:rsidR="00B415D9">
        <w:rPr>
          <w:color w:val="000000"/>
          <w:sz w:val="24"/>
          <w:szCs w:val="24"/>
          <w:lang w:eastAsia="en-US"/>
        </w:rPr>
        <w:t xml:space="preserve"> </w:t>
      </w:r>
      <w:r w:rsidR="00C0038C" w:rsidRPr="00BD5037">
        <w:rPr>
          <w:color w:val="000000"/>
          <w:sz w:val="24"/>
          <w:szCs w:val="24"/>
          <w:lang w:val="x-none" w:eastAsia="en-US"/>
        </w:rPr>
        <w:t xml:space="preserve">und </w:t>
      </w:r>
      <w:r w:rsidR="001A365C" w:rsidRPr="00BD5037">
        <w:rPr>
          <w:color w:val="000000"/>
          <w:sz w:val="24"/>
          <w:szCs w:val="24"/>
          <w:lang w:eastAsia="en-US"/>
        </w:rPr>
        <w:t xml:space="preserve">solche aus </w:t>
      </w:r>
      <w:r w:rsidR="00C0038C" w:rsidRPr="00BD5037">
        <w:rPr>
          <w:color w:val="000000"/>
          <w:sz w:val="24"/>
          <w:szCs w:val="24"/>
          <w:lang w:val="x-none" w:eastAsia="en-US"/>
        </w:rPr>
        <w:t xml:space="preserve">weißem </w:t>
      </w:r>
      <w:r w:rsidR="00C0038C" w:rsidRPr="00332642">
        <w:rPr>
          <w:color w:val="000000"/>
          <w:sz w:val="24"/>
          <w:szCs w:val="24"/>
          <w:lang w:val="x-none" w:eastAsia="en-US"/>
        </w:rPr>
        <w:t>Nitril</w:t>
      </w:r>
      <w:r w:rsidR="001A365C" w:rsidRPr="00332642">
        <w:rPr>
          <w:color w:val="000000"/>
          <w:sz w:val="24"/>
          <w:szCs w:val="24"/>
          <w:lang w:eastAsia="en-US"/>
        </w:rPr>
        <w:t xml:space="preserve"> für die Getränkeindustrie lieferbar.</w:t>
      </w:r>
    </w:p>
    <w:p w14:paraId="1ADDB3B7" w14:textId="77777777" w:rsidR="00C0038C" w:rsidRPr="00332642" w:rsidRDefault="00C0038C" w:rsidP="00DF26EA">
      <w:pPr>
        <w:jc w:val="both"/>
        <w:rPr>
          <w:sz w:val="24"/>
          <w:szCs w:val="24"/>
          <w:lang w:val="x-none"/>
        </w:rPr>
      </w:pPr>
    </w:p>
    <w:p w14:paraId="46443E7C" w14:textId="5C133EBB" w:rsidR="00BD5037" w:rsidRPr="00332642" w:rsidRDefault="00BD5037" w:rsidP="00BD5037">
      <w:pPr>
        <w:ind w:right="-1"/>
        <w:rPr>
          <w:sz w:val="24"/>
          <w:szCs w:val="24"/>
        </w:rPr>
      </w:pPr>
      <w:r w:rsidRPr="00332642">
        <w:rPr>
          <w:sz w:val="24"/>
          <w:szCs w:val="24"/>
        </w:rPr>
        <w:t xml:space="preserve">Foto: Für die Absperrklappen der Baureihe </w:t>
      </w:r>
      <w:r w:rsidR="00453439" w:rsidRPr="00453439">
        <w:rPr>
          <w:sz w:val="24"/>
          <w:szCs w:val="24"/>
        </w:rPr>
        <w:t>ISORIA</w:t>
      </w:r>
      <w:r w:rsidR="000C574E" w:rsidRPr="00BD5037">
        <w:rPr>
          <w:sz w:val="24"/>
          <w:szCs w:val="24"/>
        </w:rPr>
        <w:t xml:space="preserve"> </w:t>
      </w:r>
      <w:r w:rsidRPr="00332642">
        <w:rPr>
          <w:sz w:val="24"/>
          <w:szCs w:val="24"/>
        </w:rPr>
        <w:t>gibt es jetzt einen ölbestän</w:t>
      </w:r>
      <w:r w:rsidR="004F5378">
        <w:rPr>
          <w:sz w:val="24"/>
          <w:szCs w:val="24"/>
        </w:rPr>
        <w:t>d</w:t>
      </w:r>
      <w:r w:rsidRPr="00332642">
        <w:rPr>
          <w:sz w:val="24"/>
          <w:szCs w:val="24"/>
        </w:rPr>
        <w:t xml:space="preserve">igen </w:t>
      </w:r>
      <w:r w:rsidR="00296323" w:rsidRPr="00332642">
        <w:rPr>
          <w:sz w:val="24"/>
          <w:szCs w:val="24"/>
        </w:rPr>
        <w:t xml:space="preserve">Ringbalg für den </w:t>
      </w:r>
      <w:r w:rsidR="000C574E">
        <w:rPr>
          <w:sz w:val="24"/>
          <w:szCs w:val="24"/>
        </w:rPr>
        <w:t>L</w:t>
      </w:r>
      <w:r w:rsidR="00296323" w:rsidRPr="00332642">
        <w:rPr>
          <w:sz w:val="24"/>
          <w:szCs w:val="24"/>
        </w:rPr>
        <w:t>ebensmittelbereich</w:t>
      </w:r>
      <w:r w:rsidRPr="00332642">
        <w:rPr>
          <w:sz w:val="24"/>
          <w:szCs w:val="24"/>
        </w:rPr>
        <w:t>.</w:t>
      </w:r>
    </w:p>
    <w:p w14:paraId="431E0512" w14:textId="77777777" w:rsidR="00BD5037" w:rsidRPr="00332642" w:rsidRDefault="00BD5037" w:rsidP="00BD5037">
      <w:pPr>
        <w:ind w:right="-1"/>
        <w:rPr>
          <w:sz w:val="24"/>
          <w:szCs w:val="24"/>
        </w:rPr>
      </w:pPr>
      <w:r w:rsidRPr="00332642">
        <w:rPr>
          <w:sz w:val="24"/>
          <w:szCs w:val="24"/>
        </w:rPr>
        <w:t>(© KSB SE &amp; Co. KGaA, Frankenthal)</w:t>
      </w:r>
    </w:p>
    <w:p w14:paraId="71B55E33" w14:textId="77777777" w:rsidR="00BD5037" w:rsidRPr="00BD5037" w:rsidRDefault="00BD5037" w:rsidP="00DF26EA">
      <w:pPr>
        <w:jc w:val="both"/>
        <w:rPr>
          <w:sz w:val="24"/>
          <w:szCs w:val="24"/>
          <w:lang w:val="x-none"/>
        </w:rPr>
      </w:pPr>
    </w:p>
    <w:sectPr w:rsidR="00BD5037" w:rsidRPr="00BD5037" w:rsidSect="00DF26EA">
      <w:headerReference w:type="even" r:id="rId6"/>
      <w:headerReference w:type="default" r:id="rId7"/>
      <w:footerReference w:type="default" r:id="rId8"/>
      <w:headerReference w:type="first" r:id="rId9"/>
      <w:pgSz w:w="11906" w:h="16838" w:code="9"/>
      <w:pgMar w:top="1701" w:right="2550" w:bottom="2268" w:left="2552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0B2DFE" w14:textId="77777777" w:rsidR="00F63EA9" w:rsidRDefault="00F63EA9">
      <w:r>
        <w:separator/>
      </w:r>
    </w:p>
  </w:endnote>
  <w:endnote w:type="continuationSeparator" w:id="0">
    <w:p w14:paraId="1437B923" w14:textId="77777777" w:rsidR="00F63EA9" w:rsidRDefault="00F63E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KNAANM+FrutigerLTPro-Roman">
    <w:altName w:val="Frutiger LT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 w14:paraId="328B3D53" w14:textId="77777777">
      <w:trPr>
        <w:trHeight w:hRule="exact" w:val="1320"/>
      </w:trPr>
      <w:tc>
        <w:tcPr>
          <w:tcW w:w="9979" w:type="dxa"/>
        </w:tcPr>
        <w:p w14:paraId="50FA6F43" w14:textId="77777777"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 wp14:anchorId="00C2D4F1" wp14:editId="4D6FCCDC">
                <wp:extent cx="6322695" cy="855980"/>
                <wp:effectExtent l="0" t="0" r="1905" b="1270"/>
                <wp:docPr id="70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14:paraId="22BC66C8" w14:textId="77777777"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9A5779" w14:textId="77777777" w:rsidR="00F63EA9" w:rsidRDefault="00F63EA9">
      <w:r>
        <w:separator/>
      </w:r>
    </w:p>
  </w:footnote>
  <w:footnote w:type="continuationSeparator" w:id="0">
    <w:p w14:paraId="7F914A63" w14:textId="77777777" w:rsidR="00F63EA9" w:rsidRDefault="00F63E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F4397C" w14:textId="77777777"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14:paraId="654E2682" w14:textId="77777777"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AACB47" w14:textId="77777777"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14:paraId="08453E23" w14:textId="77777777" w:rsidR="00A4139C" w:rsidRDefault="00170D6E">
    <w:pPr>
      <w:pStyle w:val="Kopfzeile"/>
      <w:jc w:val="right"/>
    </w:pPr>
    <w:r>
      <w:rPr>
        <w:noProof/>
      </w:rPr>
      <w:drawing>
        <wp:inline distT="0" distB="0" distL="0" distR="0" wp14:anchorId="756849DF" wp14:editId="3CE6E3ED">
          <wp:extent cx="1190625" cy="513715"/>
          <wp:effectExtent l="0" t="0" r="9525" b="635"/>
          <wp:docPr id="69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636D78F0" w14:textId="77777777" w:rsidR="00A4139C" w:rsidRDefault="00A4139C">
    <w:pPr>
      <w:pStyle w:val="Kopfzeile"/>
      <w:jc w:val="right"/>
    </w:pPr>
  </w:p>
  <w:p w14:paraId="79C5802D" w14:textId="77777777" w:rsidR="00A4139C" w:rsidRDefault="00A4139C">
    <w:pPr>
      <w:pStyle w:val="Kopfzeile"/>
      <w:jc w:val="right"/>
    </w:pPr>
  </w:p>
  <w:p w14:paraId="28D33B41" w14:textId="77777777"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CF020" w14:textId="77777777" w:rsidR="00A4139C" w:rsidRDefault="00A4139C">
    <w:pPr>
      <w:pStyle w:val="Kopfzeile"/>
      <w:jc w:val="right"/>
    </w:pPr>
  </w:p>
  <w:p w14:paraId="5374D982" w14:textId="77777777"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05CA12DF-6857-4DFF-A6A3-5A55731317D5}"/>
    <w:docVar w:name="dgnword-drafile" w:val="C:\Users\paulchr\AppData\Local\Temp\draB191.tmp"/>
    <w:docVar w:name="dgnword-eventsink" w:val="585094584"/>
  </w:docVars>
  <w:rsids>
    <w:rsidRoot w:val="00A35145"/>
    <w:rsid w:val="00010238"/>
    <w:rsid w:val="0009190F"/>
    <w:rsid w:val="000C574E"/>
    <w:rsid w:val="000E18E6"/>
    <w:rsid w:val="00104518"/>
    <w:rsid w:val="00163FB6"/>
    <w:rsid w:val="00170D6E"/>
    <w:rsid w:val="001A365C"/>
    <w:rsid w:val="00215761"/>
    <w:rsid w:val="00296323"/>
    <w:rsid w:val="002E5671"/>
    <w:rsid w:val="003248B9"/>
    <w:rsid w:val="00332642"/>
    <w:rsid w:val="003A3402"/>
    <w:rsid w:val="00453439"/>
    <w:rsid w:val="004A6F3C"/>
    <w:rsid w:val="004F5378"/>
    <w:rsid w:val="00514B86"/>
    <w:rsid w:val="00563D15"/>
    <w:rsid w:val="005E5620"/>
    <w:rsid w:val="00736FF8"/>
    <w:rsid w:val="00772CA1"/>
    <w:rsid w:val="007D56FE"/>
    <w:rsid w:val="00817991"/>
    <w:rsid w:val="0086737F"/>
    <w:rsid w:val="008E48A4"/>
    <w:rsid w:val="009B036D"/>
    <w:rsid w:val="00A35145"/>
    <w:rsid w:val="00A4139C"/>
    <w:rsid w:val="00A76422"/>
    <w:rsid w:val="00B009D3"/>
    <w:rsid w:val="00B415D9"/>
    <w:rsid w:val="00B45CA7"/>
    <w:rsid w:val="00BA6CB4"/>
    <w:rsid w:val="00BD5037"/>
    <w:rsid w:val="00C0038C"/>
    <w:rsid w:val="00C07CC8"/>
    <w:rsid w:val="00CF02D5"/>
    <w:rsid w:val="00D678FE"/>
    <w:rsid w:val="00D84744"/>
    <w:rsid w:val="00DF26EA"/>
    <w:rsid w:val="00E35697"/>
    <w:rsid w:val="00E85189"/>
    <w:rsid w:val="00F4567D"/>
    <w:rsid w:val="00F63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226EFC0"/>
  <w15:chartTrackingRefBased/>
  <w15:docId w15:val="{E3CAA6FF-EF96-4F6A-B7B7-A16D94C57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paragraph" w:customStyle="1" w:styleId="Default">
    <w:name w:val="Default"/>
    <w:rsid w:val="00D84744"/>
    <w:pPr>
      <w:autoSpaceDE w:val="0"/>
      <w:autoSpaceDN w:val="0"/>
      <w:adjustRightInd w:val="0"/>
    </w:pPr>
    <w:rPr>
      <w:rFonts w:ascii="KNAANM+FrutigerLTPro-Roman" w:hAnsi="KNAANM+FrutigerLTPro-Roman" w:cs="KNAANM+FrutigerLTPro-Roman"/>
      <w:color w:val="000000"/>
      <w:sz w:val="24"/>
      <w:szCs w:val="24"/>
      <w:lang w:val="de-DE"/>
    </w:rPr>
  </w:style>
  <w:style w:type="paragraph" w:styleId="Sprechblasentext">
    <w:name w:val="Balloon Text"/>
    <w:basedOn w:val="Standard"/>
    <w:link w:val="SprechblasentextZchn"/>
    <w:semiHidden/>
    <w:unhideWhenUsed/>
    <w:rsid w:val="004F5378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4F5378"/>
    <w:rPr>
      <w:rFonts w:ascii="Segoe UI" w:hAnsi="Segoe UI" w:cs="Segoe UI"/>
      <w:sz w:val="18"/>
      <w:szCs w:val="18"/>
      <w:lang w:val="de-DE" w:eastAsia="de-DE"/>
    </w:rPr>
  </w:style>
  <w:style w:type="character" w:styleId="Kommentarzeichen">
    <w:name w:val="annotation reference"/>
    <w:basedOn w:val="Absatz-Standardschriftart"/>
    <w:semiHidden/>
    <w:unhideWhenUsed/>
    <w:rsid w:val="004F5378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4F537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4F5378"/>
    <w:rPr>
      <w:rFonts w:ascii="Arial" w:hAnsi="Arial" w:cs="Arial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4F537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4F5378"/>
    <w:rPr>
      <w:rFonts w:ascii="Arial" w:hAnsi="Arial" w:cs="Arial"/>
      <w:b/>
      <w:bCs/>
      <w:lang w:val="de-DE" w:eastAsia="de-DE"/>
    </w:rPr>
  </w:style>
  <w:style w:type="paragraph" w:styleId="berarbeitung">
    <w:name w:val="Revision"/>
    <w:hidden/>
    <w:uiPriority w:val="99"/>
    <w:semiHidden/>
    <w:rsid w:val="004F5378"/>
    <w:rPr>
      <w:rFonts w:ascii="Arial" w:hAnsi="Arial" w:cs="Arial"/>
      <w:sz w:val="22"/>
      <w:szCs w:val="22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1419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KSB Aktiengesellschaft • Johann-Klein-Straße 9 • 67227 Frankenthal</vt:lpstr>
      <vt:lpstr>KSB Aktiengesellschaft • Johann-Klein-Straße 9 • 67227 Frankenthal</vt:lpstr>
    </vt:vector>
  </TitlesOfParts>
  <Company>KSB Group</Company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Steffel, Lena</cp:lastModifiedBy>
  <cp:revision>2</cp:revision>
  <cp:lastPrinted>2006-04-21T08:51:00Z</cp:lastPrinted>
  <dcterms:created xsi:type="dcterms:W3CDTF">2021-03-08T10:48:00Z</dcterms:created>
  <dcterms:modified xsi:type="dcterms:W3CDTF">2021-03-08T10:48:00Z</dcterms:modified>
</cp:coreProperties>
</file>