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4E26" w:rsidRPr="00D37F13" w:rsidRDefault="002F4E26" w:rsidP="002F4E26">
      <w:pPr>
        <w:jc w:val="both"/>
        <w:rPr>
          <w:b/>
          <w:sz w:val="22"/>
          <w:szCs w:val="22"/>
        </w:rPr>
      </w:pPr>
      <w:bookmarkStart w:id="0" w:name="_GoBack"/>
      <w:bookmarkEnd w:id="0"/>
      <w:r w:rsidRPr="00D37F13">
        <w:rPr>
          <w:b/>
          <w:sz w:val="22"/>
          <w:szCs w:val="22"/>
        </w:rPr>
        <w:t>KSB auf der „Wasser Berlin International“</w:t>
      </w:r>
    </w:p>
    <w:p w:rsidR="002F4E26" w:rsidRPr="00D37F13" w:rsidRDefault="002F4E26" w:rsidP="002F4E26">
      <w:pPr>
        <w:jc w:val="both"/>
        <w:rPr>
          <w:sz w:val="22"/>
          <w:szCs w:val="22"/>
        </w:rPr>
      </w:pPr>
    </w:p>
    <w:p w:rsidR="002F4E26" w:rsidRPr="00D37F13" w:rsidRDefault="002F4E26" w:rsidP="002F4E26">
      <w:pPr>
        <w:jc w:val="both"/>
        <w:rPr>
          <w:sz w:val="22"/>
          <w:szCs w:val="22"/>
        </w:rPr>
      </w:pPr>
      <w:r w:rsidRPr="00D37F13">
        <w:rPr>
          <w:sz w:val="22"/>
          <w:szCs w:val="22"/>
        </w:rPr>
        <w:t>Das Zentrale Thema des Pumpen- und Armaturenherstellers KSB auf der Messe in Berlin (</w:t>
      </w:r>
      <w:r w:rsidR="00F96DF4" w:rsidRPr="00D37F13">
        <w:rPr>
          <w:sz w:val="22"/>
          <w:szCs w:val="22"/>
        </w:rPr>
        <w:t>24</w:t>
      </w:r>
      <w:r w:rsidRPr="00D37F13">
        <w:rPr>
          <w:sz w:val="22"/>
          <w:szCs w:val="22"/>
        </w:rPr>
        <w:t>.-</w:t>
      </w:r>
      <w:r w:rsidR="00F96DF4" w:rsidRPr="00D37F13">
        <w:rPr>
          <w:sz w:val="22"/>
          <w:szCs w:val="22"/>
        </w:rPr>
        <w:t>27.</w:t>
      </w:r>
      <w:r w:rsidRPr="00D37F13">
        <w:rPr>
          <w:sz w:val="22"/>
          <w:szCs w:val="22"/>
        </w:rPr>
        <w:t xml:space="preserve"> </w:t>
      </w:r>
      <w:r w:rsidR="00F96DF4" w:rsidRPr="00D37F13">
        <w:rPr>
          <w:sz w:val="22"/>
          <w:szCs w:val="22"/>
        </w:rPr>
        <w:t>März</w:t>
      </w:r>
      <w:r w:rsidRPr="00D37F13">
        <w:rPr>
          <w:sz w:val="22"/>
          <w:szCs w:val="22"/>
        </w:rPr>
        <w:t>) ist die Steigerung der Energieeffizienz von Pumpensystemen. Mit der Kampagne „</w:t>
      </w:r>
      <w:r w:rsidR="0087696D" w:rsidRPr="00D37F13">
        <w:rPr>
          <w:sz w:val="22"/>
          <w:szCs w:val="22"/>
        </w:rPr>
        <w:t>Fluid</w:t>
      </w:r>
      <w:r w:rsidRPr="00D37F13">
        <w:rPr>
          <w:sz w:val="22"/>
          <w:szCs w:val="22"/>
        </w:rPr>
        <w:t>Future“ zeigt KSB die Sparpotenziale auf, die in hydraulischen Systemen stecken.</w:t>
      </w:r>
    </w:p>
    <w:p w:rsidR="00C32C78" w:rsidRPr="00D37F13" w:rsidRDefault="00C32C78" w:rsidP="00C32C78">
      <w:pPr>
        <w:jc w:val="both"/>
        <w:rPr>
          <w:rFonts w:cs="Arial"/>
          <w:sz w:val="22"/>
          <w:szCs w:val="22"/>
        </w:rPr>
      </w:pPr>
    </w:p>
    <w:p w:rsidR="00C32C78" w:rsidRPr="00D37F13" w:rsidRDefault="00C32C78" w:rsidP="00C32C78">
      <w:pPr>
        <w:jc w:val="both"/>
        <w:rPr>
          <w:sz w:val="22"/>
          <w:szCs w:val="22"/>
        </w:rPr>
      </w:pPr>
      <w:r w:rsidRPr="00D37F13">
        <w:rPr>
          <w:rFonts w:cs="Arial"/>
          <w:sz w:val="22"/>
          <w:szCs w:val="22"/>
        </w:rPr>
        <w:t xml:space="preserve">In Berlin stellt KSB seinen permanentmagneterregten Synchronantrieb für 6-Zoll-Unterwassermotorpumpen aus. </w:t>
      </w:r>
      <w:r w:rsidRPr="00D37F13">
        <w:rPr>
          <w:sz w:val="22"/>
          <w:szCs w:val="22"/>
        </w:rPr>
        <w:t>Dieser benötigt zur Erzeugung seines Drehmoments im Gegensatz zu Asynchronmotoren keinen Strom im Läufer, da er sein Rotorfeld durch Magnete erzeugt. Deshalb hat dieser Antrieb keine Stromwärmeverluste im Läufer und kann deutlich bessere Wirkungsgrade erreichen als der klassische Asynchronmotor. Dank einer sehr hohen Leistungsdichte ist der Antrieb sehr kompakt. Für seinen Betrieb ist ein Frequenzumrichter erforderlich.</w:t>
      </w:r>
    </w:p>
    <w:p w:rsidR="00C32C78" w:rsidRPr="00D37F13" w:rsidRDefault="00C32C78" w:rsidP="00C32C78">
      <w:pPr>
        <w:jc w:val="both"/>
        <w:rPr>
          <w:rFonts w:cs="Arial"/>
          <w:sz w:val="22"/>
          <w:szCs w:val="22"/>
        </w:rPr>
      </w:pPr>
    </w:p>
    <w:p w:rsidR="00C32C78" w:rsidRPr="00D37F13" w:rsidRDefault="00C32C78" w:rsidP="00C32C78">
      <w:pPr>
        <w:jc w:val="both"/>
        <w:rPr>
          <w:sz w:val="22"/>
          <w:szCs w:val="22"/>
        </w:rPr>
      </w:pPr>
      <w:r w:rsidRPr="00D37F13">
        <w:rPr>
          <w:sz w:val="22"/>
          <w:szCs w:val="22"/>
        </w:rPr>
        <w:t>Als Vertreter der Unterwasser</w:t>
      </w:r>
      <w:r w:rsidR="0087696D" w:rsidRPr="00D37F13">
        <w:rPr>
          <w:sz w:val="22"/>
          <w:szCs w:val="22"/>
        </w:rPr>
        <w:t>m</w:t>
      </w:r>
      <w:r w:rsidRPr="00D37F13">
        <w:rPr>
          <w:sz w:val="22"/>
          <w:szCs w:val="22"/>
        </w:rPr>
        <w:t>otorpumpen</w:t>
      </w:r>
      <w:r w:rsidR="0087696D" w:rsidRPr="00D37F13">
        <w:rPr>
          <w:sz w:val="22"/>
          <w:szCs w:val="22"/>
        </w:rPr>
        <w:t>-B</w:t>
      </w:r>
      <w:r w:rsidRPr="00D37F13">
        <w:rPr>
          <w:sz w:val="22"/>
          <w:szCs w:val="22"/>
        </w:rPr>
        <w:t>aureihe</w:t>
      </w:r>
      <w:r w:rsidR="00C56174">
        <w:rPr>
          <w:sz w:val="22"/>
          <w:szCs w:val="22"/>
        </w:rPr>
        <w:t>n</w:t>
      </w:r>
      <w:r w:rsidRPr="00D37F13">
        <w:rPr>
          <w:sz w:val="22"/>
          <w:szCs w:val="22"/>
        </w:rPr>
        <w:t xml:space="preserve"> wird die UPA-150-C mit einem </w:t>
      </w:r>
      <w:r w:rsidRPr="00D37F13">
        <w:rPr>
          <w:rFonts w:cs="Arial"/>
          <w:bCs/>
          <w:sz w:val="22"/>
          <w:szCs w:val="22"/>
        </w:rPr>
        <w:t>hocheffizienten UMA</w:t>
      </w:r>
      <w:r w:rsidR="00501B86">
        <w:rPr>
          <w:rFonts w:cs="Arial"/>
          <w:bCs/>
          <w:sz w:val="22"/>
          <w:szCs w:val="22"/>
        </w:rPr>
        <w:t>-S</w:t>
      </w:r>
      <w:r w:rsidR="00471A7C">
        <w:rPr>
          <w:rFonts w:cs="Arial"/>
          <w:bCs/>
          <w:sz w:val="22"/>
          <w:szCs w:val="22"/>
        </w:rPr>
        <w:t xml:space="preserve"> </w:t>
      </w:r>
      <w:r w:rsidRPr="00D37F13">
        <w:rPr>
          <w:rFonts w:cs="Arial"/>
          <w:bCs/>
          <w:sz w:val="22"/>
          <w:szCs w:val="22"/>
        </w:rPr>
        <w:t>150</w:t>
      </w:r>
      <w:r w:rsidR="00471A7C">
        <w:rPr>
          <w:rFonts w:cs="Arial"/>
          <w:bCs/>
          <w:sz w:val="22"/>
          <w:szCs w:val="22"/>
        </w:rPr>
        <w:t xml:space="preserve"> </w:t>
      </w:r>
      <w:r w:rsidRPr="00D37F13">
        <w:rPr>
          <w:rFonts w:cs="Arial"/>
          <w:bCs/>
          <w:sz w:val="22"/>
          <w:szCs w:val="22"/>
        </w:rPr>
        <w:t>E Synchronmotor</w:t>
      </w:r>
      <w:r w:rsidRPr="00D37F13">
        <w:rPr>
          <w:sz w:val="22"/>
          <w:szCs w:val="22"/>
        </w:rPr>
        <w:t xml:space="preserve"> auf der Messe zu sehen sein. Sie ist für den Einsatz in der Wasserversorgung, Bewässerung, Grundwasserabsenkung und Druckerhöhung sowie im Brandschutz vorgesehen. Die strömungsgünstige Hydraulik verleiht den Aggregaten hohe Wirkungsgrade. Das sorgt für niedrige Betriebskosten während der gesamten Lebensdauer. Die maximale Förderhöhe liegt bei 570 Metern, die größte Fördermenge beträgt 79.000 Liter in der Stunde. Je nach Motorauslegung kann die Temperatur des zu fördernden Mediums bis zu 50° C betragen. Die Pumpe ist standardmäßig komplett aus hochwertigem, nicht rostendem Edelstahl hergestellt. Für aggressive Flüssigkeiten ist eine besonders hochwertige CrNiMo-Stahl-Ausführung lieferbar.</w:t>
      </w:r>
    </w:p>
    <w:p w:rsidR="00A1673B" w:rsidRPr="00D37F13" w:rsidRDefault="00A1673B" w:rsidP="00A1673B">
      <w:pPr>
        <w:jc w:val="both"/>
        <w:rPr>
          <w:rFonts w:cs="Arial"/>
          <w:sz w:val="22"/>
          <w:szCs w:val="22"/>
        </w:rPr>
      </w:pPr>
    </w:p>
    <w:p w:rsidR="00772513" w:rsidRPr="00D37F13" w:rsidRDefault="00772513" w:rsidP="00772513">
      <w:pPr>
        <w:jc w:val="both"/>
        <w:rPr>
          <w:rFonts w:cs="Arial"/>
          <w:sz w:val="22"/>
          <w:szCs w:val="22"/>
        </w:rPr>
      </w:pPr>
      <w:r w:rsidRPr="00D37F13">
        <w:rPr>
          <w:sz w:val="22"/>
          <w:szCs w:val="22"/>
        </w:rPr>
        <w:t xml:space="preserve">Natürlich wird auch die jüngste Ausführung des von KSB in Serie gefertigten </w:t>
      </w:r>
      <w:r w:rsidRPr="00D37F13">
        <w:rPr>
          <w:rFonts w:eastAsia="Calibri" w:cs="Arial"/>
          <w:sz w:val="22"/>
          <w:szCs w:val="22"/>
        </w:rPr>
        <w:t xml:space="preserve">Synchron-Reluktanzmotors </w:t>
      </w:r>
      <w:r w:rsidRPr="00D37F13">
        <w:rPr>
          <w:rFonts w:cs="Arial"/>
          <w:sz w:val="22"/>
          <w:szCs w:val="22"/>
        </w:rPr>
        <w:t xml:space="preserve">SuPremE zu sehen sein. </w:t>
      </w:r>
      <w:r w:rsidRPr="00D37F13">
        <w:rPr>
          <w:rFonts w:eastAsia="Calibri" w:cs="Arial"/>
          <w:sz w:val="22"/>
          <w:szCs w:val="22"/>
        </w:rPr>
        <w:t>D</w:t>
      </w:r>
      <w:r w:rsidRPr="00D37F13">
        <w:rPr>
          <w:rFonts w:cs="Arial"/>
          <w:sz w:val="22"/>
          <w:szCs w:val="22"/>
        </w:rPr>
        <w:t>i</w:t>
      </w:r>
      <w:r w:rsidRPr="00D37F13">
        <w:rPr>
          <w:rFonts w:eastAsia="Calibri" w:cs="Arial"/>
          <w:sz w:val="22"/>
          <w:szCs w:val="22"/>
        </w:rPr>
        <w:t>e</w:t>
      </w:r>
      <w:r w:rsidRPr="00D37F13">
        <w:rPr>
          <w:rFonts w:cs="Arial"/>
          <w:sz w:val="22"/>
          <w:szCs w:val="22"/>
        </w:rPr>
        <w:t>ser</w:t>
      </w:r>
      <w:r w:rsidRPr="00D37F13">
        <w:rPr>
          <w:rFonts w:eastAsia="Calibri" w:cs="Arial"/>
          <w:sz w:val="22"/>
          <w:szCs w:val="22"/>
        </w:rPr>
        <w:t xml:space="preserve"> hat im Gegensatz zu Asynchronmotoren auch noch einen guten Wirkungsgrad, wenn er nicht mit voller Leistung läuft. Genau das kommt in der Realität aber sehr häufig vor, da viele Antriebe oft mit abgesenkter Drehzahl arbeiten. Der Motor</w:t>
      </w:r>
      <w:r w:rsidRPr="00D37F13">
        <w:rPr>
          <w:rFonts w:cs="Arial"/>
          <w:sz w:val="22"/>
          <w:szCs w:val="22"/>
        </w:rPr>
        <w:t xml:space="preserve"> wird in Kombination mit einer trocken aufgestellten Abwasserpumpe der Baureihe Sewatec und dem Pumpendrehzahlregelsystem PumpDrive zu sehen sein.</w:t>
      </w:r>
    </w:p>
    <w:p w:rsidR="00772513" w:rsidRPr="00D37F13" w:rsidRDefault="00772513" w:rsidP="00772513">
      <w:pPr>
        <w:jc w:val="both"/>
        <w:rPr>
          <w:rFonts w:cs="Arial"/>
          <w:sz w:val="22"/>
          <w:szCs w:val="22"/>
        </w:rPr>
      </w:pPr>
    </w:p>
    <w:p w:rsidR="00772513" w:rsidRPr="00D37F13" w:rsidRDefault="00772513" w:rsidP="00772513">
      <w:pPr>
        <w:jc w:val="both"/>
        <w:rPr>
          <w:rFonts w:cs="Arial"/>
          <w:sz w:val="22"/>
          <w:szCs w:val="22"/>
        </w:rPr>
      </w:pPr>
      <w:r w:rsidRPr="00D37F13">
        <w:rPr>
          <w:rFonts w:cs="Arial"/>
          <w:sz w:val="22"/>
          <w:szCs w:val="22"/>
        </w:rPr>
        <w:t xml:space="preserve">Drehzahlregelsysteme, </w:t>
      </w:r>
      <w:r w:rsidRPr="00D37F13">
        <w:rPr>
          <w:rFonts w:cs="Arial"/>
          <w:snapToGrid w:val="0"/>
          <w:sz w:val="22"/>
          <w:szCs w:val="22"/>
        </w:rPr>
        <w:t xml:space="preserve">bieten die Möglichkeit, durch die Anpassung der Förderleistung an den tatsächlichen Bedarf, Energiekosten zu senken. </w:t>
      </w:r>
      <w:r w:rsidRPr="00D37F13">
        <w:rPr>
          <w:rFonts w:cs="Arial"/>
          <w:sz w:val="22"/>
          <w:szCs w:val="22"/>
        </w:rPr>
        <w:t xml:space="preserve">Alle Baugrößen </w:t>
      </w:r>
      <w:r w:rsidR="00B22DBF" w:rsidRPr="00D37F13">
        <w:rPr>
          <w:rFonts w:cs="Arial"/>
          <w:sz w:val="22"/>
          <w:szCs w:val="22"/>
        </w:rPr>
        <w:t xml:space="preserve">des PumpDrives </w:t>
      </w:r>
      <w:r w:rsidRPr="00D37F13">
        <w:rPr>
          <w:rFonts w:cs="Arial"/>
          <w:sz w:val="22"/>
          <w:szCs w:val="22"/>
        </w:rPr>
        <w:t>haben ein durchgängiges Design bis zu einer Motorleistung von 55 kW. Sie können auf dem Motor, an der Wand oder im Schaltschrank verbaut werden und sind die einzigen Drehzahlregler, die neben Asynchron</w:t>
      </w:r>
      <w:r w:rsidR="0085040E" w:rsidRPr="00D37F13">
        <w:rPr>
          <w:rFonts w:cs="Arial"/>
          <w:sz w:val="22"/>
          <w:szCs w:val="22"/>
        </w:rPr>
        <w:t>motoren</w:t>
      </w:r>
      <w:r w:rsidRPr="00D37F13">
        <w:rPr>
          <w:rFonts w:cs="Arial"/>
          <w:sz w:val="22"/>
          <w:szCs w:val="22"/>
        </w:rPr>
        <w:t xml:space="preserve"> auch Synchron-Reluktanzmotoren ansteuern können. Für größere Leistungen bis 1,4 MW stehen Frequenzumrichter in Buchformat mit der Schutzart IP20 zum Einbau in eine</w:t>
      </w:r>
      <w:r w:rsidR="00C56174">
        <w:rPr>
          <w:rFonts w:cs="Arial"/>
          <w:sz w:val="22"/>
          <w:szCs w:val="22"/>
        </w:rPr>
        <w:t>m</w:t>
      </w:r>
      <w:r w:rsidRPr="00D37F13">
        <w:rPr>
          <w:rFonts w:cs="Arial"/>
          <w:sz w:val="22"/>
          <w:szCs w:val="22"/>
        </w:rPr>
        <w:t xml:space="preserve"> Schaltschrank zur Verfügung.</w:t>
      </w:r>
    </w:p>
    <w:p w:rsidR="00A1673B" w:rsidRPr="00D37F13" w:rsidRDefault="00A1673B" w:rsidP="00A1673B">
      <w:pPr>
        <w:jc w:val="both"/>
        <w:rPr>
          <w:sz w:val="22"/>
          <w:szCs w:val="22"/>
        </w:rPr>
      </w:pPr>
    </w:p>
    <w:p w:rsidR="00A1673B" w:rsidRPr="00D37F13" w:rsidRDefault="00A1673B" w:rsidP="00A1673B">
      <w:pPr>
        <w:jc w:val="both"/>
        <w:rPr>
          <w:sz w:val="22"/>
          <w:szCs w:val="22"/>
        </w:rPr>
      </w:pPr>
      <w:r w:rsidRPr="00D37F13">
        <w:rPr>
          <w:sz w:val="22"/>
          <w:szCs w:val="22"/>
        </w:rPr>
        <w:t xml:space="preserve">Ein Höhepunkt der Präsentation wird eine neue Ausführung des hocheffizienten Abwassertransportsystems </w:t>
      </w:r>
      <w:r w:rsidRPr="00D37F13">
        <w:rPr>
          <w:rFonts w:eastAsia="Calibri"/>
          <w:sz w:val="22"/>
          <w:szCs w:val="22"/>
        </w:rPr>
        <w:t>AmaDS³</w:t>
      </w:r>
      <w:r w:rsidRPr="00D37F13">
        <w:rPr>
          <w:sz w:val="22"/>
          <w:szCs w:val="22"/>
        </w:rPr>
        <w:t xml:space="preserve"> sein. Die Anlage ist </w:t>
      </w:r>
      <w:r w:rsidRPr="00D37F13">
        <w:rPr>
          <w:rFonts w:eastAsia="Calibri"/>
          <w:sz w:val="22"/>
          <w:szCs w:val="22"/>
        </w:rPr>
        <w:t>eine Kombination aus einem patentierten, trocken aufgestellten Feststoff-Trennsystem und zwei Abwasserpumpen in Prozessbauweise.</w:t>
      </w:r>
      <w:r w:rsidRPr="00D37F13">
        <w:rPr>
          <w:sz w:val="22"/>
          <w:szCs w:val="22"/>
        </w:rPr>
        <w:t xml:space="preserve"> Aufgrund des großen Markterfolges, den der Pumpenhersteller in den letzten Jahren mit dieser sehr energiesparenden Art des Abwassertransportes hatte, wird diese Baureihe weiter ausgebaut. So zeigt man auf der „</w:t>
      </w:r>
      <w:r w:rsidRPr="00D37F13">
        <w:rPr>
          <w:noProof/>
          <w:sz w:val="22"/>
          <w:szCs w:val="22"/>
        </w:rPr>
        <w:t>Wasser</w:t>
      </w:r>
      <w:r w:rsidRPr="00D37F13">
        <w:rPr>
          <w:sz w:val="22"/>
          <w:szCs w:val="22"/>
        </w:rPr>
        <w:t> </w:t>
      </w:r>
      <w:r w:rsidRPr="00D37F13">
        <w:rPr>
          <w:noProof/>
          <w:sz w:val="22"/>
          <w:szCs w:val="22"/>
        </w:rPr>
        <w:t>Berlin International”</w:t>
      </w:r>
      <w:r w:rsidRPr="00D37F13">
        <w:rPr>
          <w:sz w:val="22"/>
          <w:szCs w:val="22"/>
        </w:rPr>
        <w:t xml:space="preserve"> eine Bauform, die für besonders enge Platzverhältnisse konstruiert wurde. </w:t>
      </w:r>
    </w:p>
    <w:p w:rsidR="00A1673B" w:rsidRPr="00D37F13" w:rsidRDefault="00A1673B" w:rsidP="00A1673B">
      <w:pPr>
        <w:jc w:val="both"/>
        <w:rPr>
          <w:sz w:val="22"/>
          <w:szCs w:val="22"/>
        </w:rPr>
      </w:pPr>
    </w:p>
    <w:p w:rsidR="00A1673B" w:rsidRPr="00D37F13" w:rsidRDefault="00A1673B" w:rsidP="00A1673B">
      <w:pPr>
        <w:jc w:val="both"/>
        <w:rPr>
          <w:rFonts w:cs="Arial"/>
          <w:sz w:val="22"/>
          <w:szCs w:val="22"/>
        </w:rPr>
      </w:pPr>
      <w:r w:rsidRPr="00D37F13">
        <w:rPr>
          <w:rFonts w:cs="Arial"/>
          <w:sz w:val="22"/>
          <w:szCs w:val="22"/>
        </w:rPr>
        <w:t xml:space="preserve">Natürlich zeigt der deutsche Hersteller auch Ausschnitte seines großen Armaturenprogamms für die Wasserwirtschaft, so zum Beispiel die beidseitig dichtenden Plattenschieber der Baureihe Hera BD. Diese sind von DN 50 bis DN 1200 lieferbar. Abhängig von der Nennweite sind sie bis maximal 10 bar Betriebsdruck belastbar. </w:t>
      </w:r>
    </w:p>
    <w:p w:rsidR="00A1673B" w:rsidRPr="00D37F13" w:rsidRDefault="00A1673B" w:rsidP="00A1673B">
      <w:pPr>
        <w:jc w:val="both"/>
        <w:rPr>
          <w:sz w:val="22"/>
          <w:szCs w:val="22"/>
        </w:rPr>
      </w:pPr>
    </w:p>
    <w:p w:rsidR="0085040E" w:rsidRPr="00D37F13" w:rsidRDefault="0085040E" w:rsidP="0085040E">
      <w:pPr>
        <w:jc w:val="both"/>
        <w:rPr>
          <w:sz w:val="22"/>
          <w:szCs w:val="22"/>
        </w:rPr>
      </w:pPr>
      <w:r w:rsidRPr="00D37F13">
        <w:rPr>
          <w:sz w:val="22"/>
          <w:szCs w:val="22"/>
        </w:rPr>
        <w:t xml:space="preserve">Interessierte </w:t>
      </w:r>
      <w:r w:rsidR="00D1718E">
        <w:rPr>
          <w:sz w:val="22"/>
          <w:szCs w:val="22"/>
        </w:rPr>
        <w:t>Fachb</w:t>
      </w:r>
      <w:r w:rsidRPr="00D37F13">
        <w:rPr>
          <w:sz w:val="22"/>
          <w:szCs w:val="22"/>
        </w:rPr>
        <w:t xml:space="preserve">esucher können sich unter </w:t>
      </w:r>
      <w:r w:rsidRPr="00D37F13">
        <w:rPr>
          <w:b/>
          <w:sz w:val="22"/>
          <w:szCs w:val="22"/>
        </w:rPr>
        <w:t>www.ksb.de/WasserBerlin2015</w:t>
      </w:r>
      <w:r w:rsidRPr="00D37F13">
        <w:rPr>
          <w:sz w:val="22"/>
          <w:szCs w:val="22"/>
        </w:rPr>
        <w:t xml:space="preserve"> registrieren lassen und von KSB kostenlose Eintrittskarten beziehen.</w:t>
      </w:r>
    </w:p>
    <w:p w:rsidR="009F121F" w:rsidRPr="00D37F13" w:rsidRDefault="009F121F" w:rsidP="00A1673B">
      <w:pPr>
        <w:jc w:val="both"/>
        <w:rPr>
          <w:sz w:val="22"/>
          <w:szCs w:val="22"/>
        </w:rPr>
      </w:pPr>
    </w:p>
    <w:p w:rsidR="00015C67" w:rsidRPr="00D37F13" w:rsidRDefault="00015C67" w:rsidP="00015C67">
      <w:pPr>
        <w:jc w:val="both"/>
        <w:rPr>
          <w:sz w:val="22"/>
          <w:szCs w:val="22"/>
        </w:rPr>
      </w:pPr>
      <w:r w:rsidRPr="00D37F13">
        <w:rPr>
          <w:sz w:val="22"/>
          <w:szCs w:val="22"/>
        </w:rPr>
        <w:lastRenderedPageBreak/>
        <w:t xml:space="preserve">Foto: KSB zeigt auf der „Wasser Berlin International“ unter andrem eine </w:t>
      </w:r>
      <w:r w:rsidRPr="00D37F13">
        <w:rPr>
          <w:rFonts w:cs="Arial"/>
          <w:sz w:val="22"/>
          <w:szCs w:val="22"/>
        </w:rPr>
        <w:t>Abwasserpumpe der Baureihe Sewatec mit SuPremE-</w:t>
      </w:r>
      <w:r w:rsidRPr="00D37F13">
        <w:rPr>
          <w:rFonts w:eastAsia="Calibri" w:cs="Arial"/>
          <w:sz w:val="22"/>
          <w:szCs w:val="22"/>
        </w:rPr>
        <w:t>Motor</w:t>
      </w:r>
      <w:r w:rsidRPr="00D37F13">
        <w:rPr>
          <w:rFonts w:cs="Arial"/>
          <w:sz w:val="22"/>
          <w:szCs w:val="22"/>
        </w:rPr>
        <w:t xml:space="preserve"> </w:t>
      </w:r>
      <w:r w:rsidR="00C56174">
        <w:rPr>
          <w:rFonts w:cs="Arial"/>
          <w:sz w:val="22"/>
          <w:szCs w:val="22"/>
        </w:rPr>
        <w:t xml:space="preserve">und </w:t>
      </w:r>
      <w:r w:rsidRPr="00D37F13">
        <w:rPr>
          <w:rFonts w:cs="Arial"/>
          <w:sz w:val="22"/>
          <w:szCs w:val="22"/>
        </w:rPr>
        <w:t xml:space="preserve">Pumpendrehzahlregelsystem PumpDrive. </w:t>
      </w:r>
      <w:r w:rsidRPr="00D37F13">
        <w:rPr>
          <w:sz w:val="22"/>
          <w:szCs w:val="22"/>
        </w:rPr>
        <w:t>(KSB Aktiengesellschaft, Frankenthal).</w:t>
      </w:r>
    </w:p>
    <w:p w:rsidR="00015C67" w:rsidRPr="00D37F13" w:rsidRDefault="00015C67" w:rsidP="00A1673B">
      <w:pPr>
        <w:jc w:val="both"/>
        <w:rPr>
          <w:sz w:val="22"/>
          <w:szCs w:val="22"/>
        </w:rPr>
      </w:pPr>
    </w:p>
    <w:sectPr w:rsidR="00015C67" w:rsidRPr="00D37F13" w:rsidSect="00D37F13">
      <w:pgSz w:w="11906" w:h="16838"/>
      <w:pgMar w:top="993"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0AE6" w:rsidRDefault="00DA0AE6" w:rsidP="00D37F13">
      <w:r>
        <w:separator/>
      </w:r>
    </w:p>
  </w:endnote>
  <w:endnote w:type="continuationSeparator" w:id="0">
    <w:p w:rsidR="00DA0AE6" w:rsidRDefault="00DA0AE6" w:rsidP="00D37F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0AE6" w:rsidRDefault="00DA0AE6" w:rsidP="00D37F13">
      <w:r>
        <w:separator/>
      </w:r>
    </w:p>
  </w:footnote>
  <w:footnote w:type="continuationSeparator" w:id="0">
    <w:p w:rsidR="00DA0AE6" w:rsidRDefault="00DA0AE6" w:rsidP="00D37F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46111EFE-8649-4173-BEC6-F043BA298951}"/>
    <w:docVar w:name="dgnword-eventsink" w:val="100002808"/>
  </w:docVars>
  <w:rsids>
    <w:rsidRoot w:val="002F4E26"/>
    <w:rsid w:val="00015C67"/>
    <w:rsid w:val="00061A9B"/>
    <w:rsid w:val="00130B6A"/>
    <w:rsid w:val="00182163"/>
    <w:rsid w:val="002A2136"/>
    <w:rsid w:val="002F4E26"/>
    <w:rsid w:val="00323D82"/>
    <w:rsid w:val="004262F0"/>
    <w:rsid w:val="00471A7C"/>
    <w:rsid w:val="00484936"/>
    <w:rsid w:val="004C5111"/>
    <w:rsid w:val="00501B86"/>
    <w:rsid w:val="005A3B3C"/>
    <w:rsid w:val="0061030A"/>
    <w:rsid w:val="006730BF"/>
    <w:rsid w:val="006D4D0B"/>
    <w:rsid w:val="006E4488"/>
    <w:rsid w:val="006E5969"/>
    <w:rsid w:val="007027B3"/>
    <w:rsid w:val="00772513"/>
    <w:rsid w:val="007B5EC3"/>
    <w:rsid w:val="0085040E"/>
    <w:rsid w:val="0087696D"/>
    <w:rsid w:val="009B7462"/>
    <w:rsid w:val="009F121F"/>
    <w:rsid w:val="00A1673B"/>
    <w:rsid w:val="00B22DBF"/>
    <w:rsid w:val="00B54600"/>
    <w:rsid w:val="00B75C74"/>
    <w:rsid w:val="00BA154D"/>
    <w:rsid w:val="00BC710B"/>
    <w:rsid w:val="00C32C78"/>
    <w:rsid w:val="00C56174"/>
    <w:rsid w:val="00C65C2F"/>
    <w:rsid w:val="00D1718E"/>
    <w:rsid w:val="00D37F13"/>
    <w:rsid w:val="00D75DBD"/>
    <w:rsid w:val="00DA0AE6"/>
    <w:rsid w:val="00E25E7A"/>
    <w:rsid w:val="00E356AF"/>
    <w:rsid w:val="00E76748"/>
    <w:rsid w:val="00F96DF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334824-9F1E-444A-81EA-77E6263F0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StandardAr10"/>
    <w:qFormat/>
    <w:rsid w:val="002F4E26"/>
    <w:pPr>
      <w:spacing w:after="0" w:line="240" w:lineRule="auto"/>
    </w:pPr>
    <w:rPr>
      <w:rFonts w:ascii="Arial" w:eastAsia="Times New Roman" w:hAnsi="Arial" w:cs="Times New Roman"/>
      <w:sz w:val="20"/>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87696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7696D"/>
    <w:rPr>
      <w:rFonts w:ascii="Tahoma" w:eastAsia="Times New Roman" w:hAnsi="Tahoma" w:cs="Tahoma"/>
      <w:sz w:val="16"/>
      <w:szCs w:val="16"/>
      <w:lang w:eastAsia="de-DE"/>
    </w:rPr>
  </w:style>
  <w:style w:type="character" w:styleId="Kommentarzeichen">
    <w:name w:val="annotation reference"/>
    <w:basedOn w:val="Absatz-Standardschriftart"/>
    <w:uiPriority w:val="99"/>
    <w:semiHidden/>
    <w:unhideWhenUsed/>
    <w:rsid w:val="006730BF"/>
    <w:rPr>
      <w:sz w:val="16"/>
      <w:szCs w:val="16"/>
    </w:rPr>
  </w:style>
  <w:style w:type="paragraph" w:styleId="Kommentartext">
    <w:name w:val="annotation text"/>
    <w:basedOn w:val="Standard"/>
    <w:link w:val="KommentartextZchn"/>
    <w:uiPriority w:val="99"/>
    <w:semiHidden/>
    <w:unhideWhenUsed/>
    <w:rsid w:val="006730BF"/>
    <w:rPr>
      <w:szCs w:val="20"/>
    </w:rPr>
  </w:style>
  <w:style w:type="character" w:customStyle="1" w:styleId="KommentartextZchn">
    <w:name w:val="Kommentartext Zchn"/>
    <w:basedOn w:val="Absatz-Standardschriftart"/>
    <w:link w:val="Kommentartext"/>
    <w:uiPriority w:val="99"/>
    <w:semiHidden/>
    <w:rsid w:val="006730BF"/>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6730BF"/>
    <w:rPr>
      <w:b/>
      <w:bCs/>
    </w:rPr>
  </w:style>
  <w:style w:type="character" w:customStyle="1" w:styleId="KommentarthemaZchn">
    <w:name w:val="Kommentarthema Zchn"/>
    <w:basedOn w:val="KommentartextZchn"/>
    <w:link w:val="Kommentarthema"/>
    <w:uiPriority w:val="99"/>
    <w:semiHidden/>
    <w:rsid w:val="006730BF"/>
    <w:rPr>
      <w:rFonts w:ascii="Arial" w:eastAsia="Times New Roman" w:hAnsi="Arial" w:cs="Times New Roman"/>
      <w:b/>
      <w:bCs/>
      <w:sz w:val="20"/>
      <w:szCs w:val="20"/>
      <w:lang w:eastAsia="de-DE"/>
    </w:rPr>
  </w:style>
  <w:style w:type="paragraph" w:styleId="Kopfzeile">
    <w:name w:val="header"/>
    <w:basedOn w:val="Standard"/>
    <w:link w:val="KopfzeileZchn"/>
    <w:uiPriority w:val="99"/>
    <w:semiHidden/>
    <w:unhideWhenUsed/>
    <w:rsid w:val="00D37F13"/>
    <w:pPr>
      <w:tabs>
        <w:tab w:val="center" w:pos="4513"/>
        <w:tab w:val="right" w:pos="9026"/>
      </w:tabs>
    </w:pPr>
  </w:style>
  <w:style w:type="character" w:customStyle="1" w:styleId="KopfzeileZchn">
    <w:name w:val="Kopfzeile Zchn"/>
    <w:basedOn w:val="Absatz-Standardschriftart"/>
    <w:link w:val="Kopfzeile"/>
    <w:uiPriority w:val="99"/>
    <w:semiHidden/>
    <w:rsid w:val="00D37F13"/>
    <w:rPr>
      <w:rFonts w:ascii="Arial" w:eastAsia="Times New Roman" w:hAnsi="Arial" w:cs="Times New Roman"/>
      <w:sz w:val="20"/>
      <w:szCs w:val="24"/>
      <w:lang w:eastAsia="de-DE"/>
    </w:rPr>
  </w:style>
  <w:style w:type="paragraph" w:styleId="Fuzeile">
    <w:name w:val="footer"/>
    <w:basedOn w:val="Standard"/>
    <w:link w:val="FuzeileZchn"/>
    <w:uiPriority w:val="99"/>
    <w:semiHidden/>
    <w:unhideWhenUsed/>
    <w:rsid w:val="00D37F13"/>
    <w:pPr>
      <w:tabs>
        <w:tab w:val="center" w:pos="4513"/>
        <w:tab w:val="right" w:pos="9026"/>
      </w:tabs>
    </w:pPr>
  </w:style>
  <w:style w:type="character" w:customStyle="1" w:styleId="FuzeileZchn">
    <w:name w:val="Fußzeile Zchn"/>
    <w:basedOn w:val="Absatz-Standardschriftart"/>
    <w:link w:val="Fuzeile"/>
    <w:uiPriority w:val="99"/>
    <w:semiHidden/>
    <w:rsid w:val="00D37F13"/>
    <w:rPr>
      <w:rFonts w:ascii="Arial" w:eastAsia="Times New Roman" w:hAnsi="Arial" w:cs="Times New Roman"/>
      <w:sz w:val="20"/>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88D0A8-5A2E-432F-847D-91DB8ADD3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546</Words>
  <Characters>3443</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Stiefler, Julia</cp:lastModifiedBy>
  <cp:revision>2</cp:revision>
  <dcterms:created xsi:type="dcterms:W3CDTF">2021-03-08T09:18:00Z</dcterms:created>
  <dcterms:modified xsi:type="dcterms:W3CDTF">2021-03-08T09:18:00Z</dcterms:modified>
</cp:coreProperties>
</file>