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0A68" w:rsidRPr="00D440CD" w:rsidRDefault="00B80A68" w:rsidP="00C731C6">
      <w:pPr>
        <w:pStyle w:val="berschrift1"/>
        <w:rPr>
          <w:spacing w:val="-4"/>
        </w:rPr>
      </w:pPr>
      <w:bookmarkStart w:id="0" w:name="_GoBack"/>
      <w:bookmarkEnd w:id="0"/>
      <w:r w:rsidRPr="00D440CD">
        <w:rPr>
          <w:spacing w:val="-4"/>
        </w:rPr>
        <w:t>Neue Behälterpumpen mit Chemienormpumpenhydraulik</w:t>
      </w:r>
    </w:p>
    <w:p w:rsidR="001E2ECE" w:rsidRPr="00D440CD" w:rsidRDefault="001E2ECE">
      <w:pPr>
        <w:jc w:val="both"/>
      </w:pPr>
    </w:p>
    <w:p w:rsidR="00C731C6" w:rsidRPr="00D440CD" w:rsidRDefault="001E2ECE">
      <w:pPr>
        <w:jc w:val="both"/>
      </w:pPr>
      <w:r w:rsidRPr="00D440CD">
        <w:t xml:space="preserve">Als Erweiterung ihres Lieferprogramms für die </w:t>
      </w:r>
      <w:r w:rsidR="000433CC" w:rsidRPr="00D440CD">
        <w:t xml:space="preserve">chemische und petrochemische </w:t>
      </w:r>
      <w:r w:rsidR="00C731C6" w:rsidRPr="00D440CD">
        <w:t>Industrie sowie diverse andere Anwendungen stellt die KSB SE &amp; Co. KGaA, Frankenthal</w:t>
      </w:r>
      <w:r w:rsidR="000433CC" w:rsidRPr="00D440CD">
        <w:t>,</w:t>
      </w:r>
      <w:r w:rsidR="00C731C6" w:rsidRPr="00D440CD">
        <w:t xml:space="preserve"> auf der diesjährigen ACHEMA (</w:t>
      </w:r>
      <w:r w:rsidR="00E4584C" w:rsidRPr="00E4584C">
        <w:t>11. bis 15. Juni)</w:t>
      </w:r>
      <w:r w:rsidR="00C731C6" w:rsidRPr="00D440CD">
        <w:t>) in Frankfurt die Baureihe Est</w:t>
      </w:r>
      <w:r w:rsidR="007A4F17" w:rsidRPr="00D440CD">
        <w:t>i</w:t>
      </w:r>
      <w:r w:rsidR="00C731C6" w:rsidRPr="00D440CD">
        <w:t>gia vor.</w:t>
      </w:r>
    </w:p>
    <w:p w:rsidR="00C731C6" w:rsidRPr="00D440CD" w:rsidRDefault="00C731C6">
      <w:pPr>
        <w:jc w:val="both"/>
      </w:pPr>
    </w:p>
    <w:p w:rsidR="006702A4" w:rsidRPr="00394634" w:rsidRDefault="0068631E" w:rsidP="006702A4">
      <w:pPr>
        <w:jc w:val="both"/>
        <w:rPr>
          <w:rFonts w:ascii="Helv" w:hAnsi="Helv"/>
          <w:snapToGrid w:val="0"/>
          <w:color w:val="000000"/>
        </w:rPr>
      </w:pPr>
      <w:r w:rsidRPr="00D440CD">
        <w:t xml:space="preserve">Dabei handelt es sich um </w:t>
      </w:r>
      <w:r w:rsidR="001E2ECE" w:rsidRPr="00D440CD">
        <w:t>Niederdruck-</w:t>
      </w:r>
      <w:r w:rsidRPr="00D440CD">
        <w:t>Behälter</w:t>
      </w:r>
      <w:r w:rsidR="001E2ECE" w:rsidRPr="00D440CD">
        <w:t>pumpen</w:t>
      </w:r>
      <w:r w:rsidRPr="00D440CD">
        <w:t>, d</w:t>
      </w:r>
      <w:r w:rsidR="001E2ECE" w:rsidRPr="00D440CD">
        <w:rPr>
          <w:rFonts w:ascii="Helv" w:hAnsi="Helv"/>
          <w:snapToGrid w:val="0"/>
          <w:color w:val="000000"/>
        </w:rPr>
        <w:t xml:space="preserve">ie für </w:t>
      </w:r>
      <w:r w:rsidRPr="00D440CD">
        <w:rPr>
          <w:rFonts w:ascii="Helv" w:hAnsi="Helv"/>
          <w:snapToGrid w:val="0"/>
          <w:color w:val="000000"/>
        </w:rPr>
        <w:t xml:space="preserve">eine </w:t>
      </w:r>
      <w:r w:rsidR="001E2ECE" w:rsidRPr="00D440CD">
        <w:rPr>
          <w:rFonts w:ascii="Helv" w:hAnsi="Helv"/>
          <w:snapToGrid w:val="0"/>
          <w:color w:val="000000"/>
        </w:rPr>
        <w:t>vertikale Nassaufstellung in geschlossenen, unter atmosphärischem Druck stehende</w:t>
      </w:r>
      <w:r w:rsidR="007A4F17" w:rsidRPr="00D440CD">
        <w:rPr>
          <w:rFonts w:ascii="Helv" w:hAnsi="Helv"/>
          <w:snapToGrid w:val="0"/>
          <w:color w:val="000000"/>
        </w:rPr>
        <w:t>n</w:t>
      </w:r>
      <w:r w:rsidR="001E2ECE" w:rsidRPr="00D440CD">
        <w:rPr>
          <w:rFonts w:ascii="Helv" w:hAnsi="Helv"/>
          <w:snapToGrid w:val="0"/>
          <w:color w:val="000000"/>
        </w:rPr>
        <w:t xml:space="preserve"> Behälter</w:t>
      </w:r>
      <w:r w:rsidR="007A4F17" w:rsidRPr="00D440CD">
        <w:rPr>
          <w:rFonts w:ascii="Helv" w:hAnsi="Helv"/>
          <w:snapToGrid w:val="0"/>
          <w:color w:val="000000"/>
        </w:rPr>
        <w:t>n</w:t>
      </w:r>
      <w:r w:rsidR="001E2ECE" w:rsidRPr="00D440CD">
        <w:rPr>
          <w:rFonts w:ascii="Helv" w:hAnsi="Helv"/>
          <w:snapToGrid w:val="0"/>
          <w:color w:val="000000"/>
        </w:rPr>
        <w:t xml:space="preserve"> entwickelt w</w:t>
      </w:r>
      <w:r w:rsidRPr="00D440CD">
        <w:rPr>
          <w:rFonts w:ascii="Helv" w:hAnsi="Helv"/>
          <w:snapToGrid w:val="0"/>
          <w:color w:val="000000"/>
        </w:rPr>
        <w:t>u</w:t>
      </w:r>
      <w:r w:rsidR="001E2ECE" w:rsidRPr="00D440CD">
        <w:rPr>
          <w:rFonts w:ascii="Helv" w:hAnsi="Helv"/>
          <w:snapToGrid w:val="0"/>
          <w:color w:val="000000"/>
        </w:rPr>
        <w:t>rden.</w:t>
      </w:r>
      <w:r w:rsidR="008642C5" w:rsidRPr="00D440CD">
        <w:t xml:space="preserve"> </w:t>
      </w:r>
      <w:r w:rsidR="006702A4" w:rsidRPr="00394634">
        <w:rPr>
          <w:rFonts w:ascii="Helv" w:hAnsi="Helv"/>
          <w:snapToGrid w:val="0"/>
          <w:color w:val="000000"/>
        </w:rPr>
        <w:t>Die Einbautiefe ist in diversen Längenabstufung</w:t>
      </w:r>
      <w:r w:rsidR="000433CC" w:rsidRPr="00394634">
        <w:rPr>
          <w:rFonts w:ascii="Helv" w:hAnsi="Helv"/>
          <w:snapToGrid w:val="0"/>
          <w:color w:val="000000"/>
        </w:rPr>
        <w:t>en</w:t>
      </w:r>
      <w:r w:rsidR="006702A4" w:rsidRPr="00394634">
        <w:rPr>
          <w:rFonts w:ascii="Helv" w:hAnsi="Helv"/>
          <w:snapToGrid w:val="0"/>
          <w:color w:val="000000"/>
        </w:rPr>
        <w:t xml:space="preserve"> zwischen minimal </w:t>
      </w:r>
      <w:r w:rsidR="00A44F21" w:rsidRPr="00394634">
        <w:rPr>
          <w:rFonts w:ascii="Helv" w:hAnsi="Helv"/>
          <w:snapToGrid w:val="0"/>
          <w:color w:val="000000"/>
        </w:rPr>
        <w:t>852</w:t>
      </w:r>
      <w:r w:rsidR="006702A4" w:rsidRPr="00394634">
        <w:rPr>
          <w:rFonts w:ascii="Helv" w:hAnsi="Helv"/>
          <w:snapToGrid w:val="0"/>
          <w:color w:val="000000"/>
        </w:rPr>
        <w:t xml:space="preserve"> mm bis maximal 6.</w:t>
      </w:r>
      <w:r w:rsidR="00A44F21" w:rsidRPr="00394634">
        <w:rPr>
          <w:rFonts w:ascii="Helv" w:hAnsi="Helv"/>
          <w:snapToGrid w:val="0"/>
          <w:color w:val="000000"/>
        </w:rPr>
        <w:t>402</w:t>
      </w:r>
      <w:r w:rsidR="006702A4" w:rsidRPr="00394634">
        <w:rPr>
          <w:rFonts w:ascii="Helv" w:hAnsi="Helv"/>
          <w:snapToGrid w:val="0"/>
          <w:color w:val="000000"/>
        </w:rPr>
        <w:t xml:space="preserve"> mm Länge erhältlich. </w:t>
      </w:r>
      <w:r w:rsidR="00A44F21" w:rsidRPr="00394634">
        <w:rPr>
          <w:rFonts w:ascii="Helv" w:hAnsi="Helv"/>
          <w:snapToGrid w:val="0"/>
          <w:color w:val="000000"/>
        </w:rPr>
        <w:t>Für jede Baugröße stehen drei Druckrohrdurchmesser zur Verfügung, sodass die Druckverluste durchflussabhängig minimiert werden.</w:t>
      </w:r>
    </w:p>
    <w:p w:rsidR="006702A4" w:rsidRPr="00394634" w:rsidRDefault="006702A4" w:rsidP="006702A4">
      <w:pPr>
        <w:jc w:val="both"/>
      </w:pPr>
    </w:p>
    <w:p w:rsidR="00221453" w:rsidRPr="00394634" w:rsidRDefault="006702A4" w:rsidP="00221453">
      <w:pPr>
        <w:jc w:val="both"/>
        <w:rPr>
          <w:color w:val="000000"/>
        </w:rPr>
      </w:pPr>
      <w:r w:rsidRPr="00394634">
        <w:t xml:space="preserve">Dank der vertikalen Bauform haben </w:t>
      </w:r>
      <w:r w:rsidR="000433CC" w:rsidRPr="00394634">
        <w:t xml:space="preserve">die Pumpen </w:t>
      </w:r>
      <w:r w:rsidRPr="00394634">
        <w:t xml:space="preserve">nur einen geringen Platzbedarf. </w:t>
      </w:r>
      <w:r w:rsidR="00B93598" w:rsidRPr="00394634">
        <w:t>Bei einer Eintauchtiefe über 2.400 mm sorgt eine besondere Konstruktion zwischen den Zwischenrohrabschnitten und dem Druckrohr für eine deutliche Reduzierung der Schwingungen.</w:t>
      </w:r>
      <w:r w:rsidR="005525C2">
        <w:t xml:space="preserve"> </w:t>
      </w:r>
      <w:r w:rsidR="00221453" w:rsidRPr="00394634">
        <w:rPr>
          <w:color w:val="000000"/>
        </w:rPr>
        <w:t xml:space="preserve">In den </w:t>
      </w:r>
      <w:r w:rsidR="00B93598" w:rsidRPr="00394634">
        <w:rPr>
          <w:color w:val="000000"/>
        </w:rPr>
        <w:t>Gehäusedeckel</w:t>
      </w:r>
      <w:r w:rsidR="00221453" w:rsidRPr="00394634">
        <w:rPr>
          <w:color w:val="000000"/>
        </w:rPr>
        <w:t xml:space="preserve"> der Pumpe sind </w:t>
      </w:r>
      <w:r w:rsidR="000433CC" w:rsidRPr="00394634">
        <w:rPr>
          <w:rFonts w:ascii="Helv" w:hAnsi="Helv"/>
          <w:snapToGrid w:val="0"/>
          <w:color w:val="000000"/>
        </w:rPr>
        <w:t>mediumgeschmierte</w:t>
      </w:r>
      <w:r w:rsidR="00221453" w:rsidRPr="00394634">
        <w:rPr>
          <w:rFonts w:ascii="Helv" w:hAnsi="Helv"/>
          <w:snapToGrid w:val="0"/>
          <w:color w:val="000000"/>
        </w:rPr>
        <w:t xml:space="preserve"> Gleitlager aus hochwertigem, verschleißfestem Silicium-Carbid eingebaut. Das sorgt für lange Standzeiten und lange Wartungsintervalle.</w:t>
      </w:r>
    </w:p>
    <w:p w:rsidR="006702A4" w:rsidRPr="00394634" w:rsidRDefault="006702A4" w:rsidP="006702A4">
      <w:pPr>
        <w:jc w:val="both"/>
      </w:pPr>
    </w:p>
    <w:p w:rsidR="0068631E" w:rsidRPr="00D440CD" w:rsidRDefault="00125D83">
      <w:pPr>
        <w:jc w:val="both"/>
        <w:rPr>
          <w:rFonts w:ascii="Helv" w:hAnsi="Helv"/>
          <w:snapToGrid w:val="0"/>
          <w:color w:val="000000"/>
        </w:rPr>
      </w:pPr>
      <w:r w:rsidRPr="00394634">
        <w:t xml:space="preserve">Die Montage und Demontage der Aggregate ist einfach, da ihre integrierte Abdeckplatte gleichzeitig als Abdeckung des Tanks dient. </w:t>
      </w:r>
      <w:r w:rsidR="006702A4" w:rsidRPr="00394634">
        <w:t xml:space="preserve">Als Werkstoffausführungen sind Gusseisen, Edelstahl und </w:t>
      </w:r>
      <w:r w:rsidR="00B93598" w:rsidRPr="00394634">
        <w:t xml:space="preserve">Duplexstahl </w:t>
      </w:r>
      <w:r w:rsidR="006702A4" w:rsidRPr="00394634">
        <w:t>lieferbar.</w:t>
      </w:r>
      <w:r w:rsidR="005525C2">
        <w:t xml:space="preserve"> </w:t>
      </w:r>
      <w:r w:rsidR="006702A4" w:rsidRPr="00D440CD">
        <w:t>Auswechselbare Spaltringe verhindern einen möglichen Verschleiß an Gehäuse und Laufrad.</w:t>
      </w:r>
      <w:r w:rsidR="005525C2">
        <w:t xml:space="preserve"> </w:t>
      </w:r>
      <w:r w:rsidR="00402A74" w:rsidRPr="00D440CD">
        <w:rPr>
          <w:rFonts w:ascii="Helv" w:hAnsi="Helv"/>
          <w:snapToGrid w:val="0"/>
          <w:color w:val="000000"/>
        </w:rPr>
        <w:t xml:space="preserve">Die </w:t>
      </w:r>
      <w:r w:rsidRPr="00D440CD">
        <w:rPr>
          <w:rFonts w:ascii="Helv" w:hAnsi="Helv"/>
          <w:snapToGrid w:val="0"/>
          <w:color w:val="000000"/>
        </w:rPr>
        <w:t>Baureihe Estigia</w:t>
      </w:r>
      <w:r w:rsidR="00402A74" w:rsidRPr="00D440CD">
        <w:rPr>
          <w:rFonts w:ascii="Helv" w:hAnsi="Helv"/>
          <w:snapToGrid w:val="0"/>
          <w:color w:val="000000"/>
        </w:rPr>
        <w:t xml:space="preserve"> </w:t>
      </w:r>
      <w:r w:rsidR="000433CC" w:rsidRPr="00D440CD">
        <w:t xml:space="preserve">zeichnet </w:t>
      </w:r>
      <w:r w:rsidR="008642C5" w:rsidRPr="00D440CD">
        <w:t>sich du</w:t>
      </w:r>
      <w:r w:rsidR="00402A74" w:rsidRPr="00D440CD">
        <w:t>rch einen hohen Wirkungsgrad</w:t>
      </w:r>
      <w:r w:rsidR="00221453" w:rsidRPr="00D440CD">
        <w:t xml:space="preserve"> </w:t>
      </w:r>
      <w:r w:rsidR="00402A74" w:rsidRPr="00D440CD">
        <w:rPr>
          <w:rFonts w:ascii="Helv" w:hAnsi="Helv"/>
          <w:snapToGrid w:val="0"/>
          <w:color w:val="000000"/>
        </w:rPr>
        <w:t xml:space="preserve">und niedrige </w:t>
      </w:r>
      <w:r w:rsidR="008642C5" w:rsidRPr="00D440CD">
        <w:rPr>
          <w:rFonts w:ascii="Helv" w:hAnsi="Helv"/>
          <w:snapToGrid w:val="0"/>
          <w:color w:val="000000"/>
        </w:rPr>
        <w:t>Betriebskosten</w:t>
      </w:r>
      <w:r w:rsidR="00221453" w:rsidRPr="00D440CD">
        <w:t xml:space="preserve"> aus</w:t>
      </w:r>
      <w:r w:rsidR="00402A74" w:rsidRPr="00D440CD">
        <w:rPr>
          <w:rFonts w:ascii="Helv" w:hAnsi="Helv"/>
          <w:snapToGrid w:val="0"/>
          <w:color w:val="000000"/>
        </w:rPr>
        <w:t>.</w:t>
      </w:r>
    </w:p>
    <w:p w:rsidR="001E2ECE" w:rsidRPr="00D440CD" w:rsidRDefault="001E2ECE">
      <w:pPr>
        <w:jc w:val="both"/>
        <w:rPr>
          <w:rFonts w:ascii="Helv" w:hAnsi="Helv"/>
          <w:snapToGrid w:val="0"/>
          <w:color w:val="000000"/>
        </w:rPr>
      </w:pPr>
    </w:p>
    <w:p w:rsidR="001F3D39" w:rsidRPr="00D440CD" w:rsidRDefault="00B80A68">
      <w:pPr>
        <w:jc w:val="both"/>
        <w:rPr>
          <w:color w:val="000000"/>
        </w:rPr>
      </w:pPr>
      <w:r w:rsidRPr="006D6C09">
        <w:rPr>
          <w:rFonts w:ascii="Helv" w:hAnsi="Helv"/>
          <w:snapToGrid w:val="0"/>
          <w:color w:val="000000"/>
        </w:rPr>
        <w:t xml:space="preserve">Neben diversen </w:t>
      </w:r>
      <w:r w:rsidR="00F20D34" w:rsidRPr="006D6C09">
        <w:rPr>
          <w:rFonts w:ascii="Helv" w:hAnsi="Helv"/>
          <w:snapToGrid w:val="0"/>
          <w:color w:val="000000"/>
        </w:rPr>
        <w:t>mit Fördermedium, mit externer Flüssigkeit oder durch elektrische Fettpumpe</w:t>
      </w:r>
      <w:r w:rsidRPr="006D6C09">
        <w:rPr>
          <w:rFonts w:ascii="Helv" w:hAnsi="Helv"/>
          <w:snapToGrid w:val="0"/>
          <w:color w:val="000000"/>
        </w:rPr>
        <w:t xml:space="preserve"> geschmierten Wellenlagerungen gibt es auch eine sogenannte </w:t>
      </w:r>
      <w:r w:rsidR="001E2ECE" w:rsidRPr="006D6C09">
        <w:rPr>
          <w:rFonts w:ascii="Helv" w:hAnsi="Helv"/>
          <w:snapToGrid w:val="0"/>
          <w:color w:val="000000"/>
        </w:rPr>
        <w:t>„Cantilever-Ausführung“</w:t>
      </w:r>
      <w:r w:rsidRPr="006D6C09">
        <w:rPr>
          <w:rFonts w:ascii="Helv" w:hAnsi="Helv"/>
          <w:snapToGrid w:val="0"/>
          <w:color w:val="000000"/>
        </w:rPr>
        <w:t>.</w:t>
      </w:r>
      <w:r w:rsidR="005525C2">
        <w:rPr>
          <w:rFonts w:ascii="Helv" w:hAnsi="Helv"/>
          <w:snapToGrid w:val="0"/>
          <w:color w:val="000000"/>
        </w:rPr>
        <w:t xml:space="preserve"> </w:t>
      </w:r>
      <w:r w:rsidR="00F20D34" w:rsidRPr="006D6C09">
        <w:rPr>
          <w:rFonts w:ascii="Helv" w:hAnsi="Helv"/>
          <w:snapToGrid w:val="0"/>
          <w:color w:val="000000"/>
        </w:rPr>
        <w:t>Diese Ausführung ist gemäß ISO 5199 konstruiert und verfügt über eine elastische Kupplung und</w:t>
      </w:r>
      <w:r w:rsidR="001E2ECE" w:rsidRPr="006D6C09">
        <w:rPr>
          <w:rFonts w:ascii="Helv" w:hAnsi="Helv"/>
          <w:snapToGrid w:val="0"/>
          <w:color w:val="000000"/>
        </w:rPr>
        <w:t xml:space="preserve"> </w:t>
      </w:r>
      <w:r w:rsidR="00F20D34" w:rsidRPr="006D6C09">
        <w:rPr>
          <w:rFonts w:ascii="Helv" w:hAnsi="Helv"/>
          <w:snapToGrid w:val="0"/>
          <w:color w:val="000000"/>
        </w:rPr>
        <w:t>fettgeschmierte</w:t>
      </w:r>
      <w:r w:rsidR="004E10FB" w:rsidRPr="006D6C09">
        <w:rPr>
          <w:rFonts w:ascii="Helv" w:hAnsi="Helv"/>
          <w:snapToGrid w:val="0"/>
          <w:color w:val="000000"/>
        </w:rPr>
        <w:t xml:space="preserve"> Wälzlager</w:t>
      </w:r>
      <w:r w:rsidRPr="006D6C09">
        <w:rPr>
          <w:rFonts w:ascii="Helv" w:hAnsi="Helv"/>
          <w:snapToGrid w:val="0"/>
          <w:color w:val="000000"/>
        </w:rPr>
        <w:t xml:space="preserve"> </w:t>
      </w:r>
      <w:r w:rsidR="001E2ECE" w:rsidRPr="006D6C09">
        <w:rPr>
          <w:rFonts w:ascii="Helv" w:hAnsi="Helv"/>
          <w:snapToGrid w:val="0"/>
          <w:color w:val="000000"/>
        </w:rPr>
        <w:t>außerhalb des Mediums.</w:t>
      </w:r>
      <w:r w:rsidR="001E2ECE" w:rsidRPr="00D440CD">
        <w:rPr>
          <w:color w:val="000000"/>
        </w:rPr>
        <w:t xml:space="preserve"> </w:t>
      </w:r>
    </w:p>
    <w:p w:rsidR="001F3D39" w:rsidRPr="00D440CD" w:rsidRDefault="001F3D39">
      <w:pPr>
        <w:jc w:val="both"/>
        <w:rPr>
          <w:color w:val="000000"/>
        </w:rPr>
      </w:pPr>
    </w:p>
    <w:p w:rsidR="006702A4" w:rsidRPr="00D440CD" w:rsidRDefault="001E2ECE">
      <w:pPr>
        <w:jc w:val="both"/>
        <w:rPr>
          <w:rFonts w:ascii="Helv" w:hAnsi="Helv"/>
          <w:snapToGrid w:val="0"/>
          <w:color w:val="000000"/>
        </w:rPr>
      </w:pPr>
      <w:r w:rsidRPr="00D440CD">
        <w:rPr>
          <w:color w:val="000000"/>
        </w:rPr>
        <w:t>Die Fördermediumstemperatur</w:t>
      </w:r>
      <w:r w:rsidR="00221453" w:rsidRPr="00D440CD">
        <w:rPr>
          <w:color w:val="000000"/>
        </w:rPr>
        <w:t>en können je nach Ausführung zwischen -30°C und + 100°C liegen.</w:t>
      </w:r>
      <w:r w:rsidR="005525C2">
        <w:rPr>
          <w:color w:val="000000"/>
        </w:rPr>
        <w:t xml:space="preserve"> </w:t>
      </w:r>
      <w:r w:rsidR="006702A4" w:rsidRPr="00D440CD">
        <w:rPr>
          <w:rFonts w:ascii="Helv" w:hAnsi="Helv"/>
          <w:snapToGrid w:val="0"/>
          <w:color w:val="000000"/>
        </w:rPr>
        <w:t>Als Antriebe können geregelte und ungeregelte Elektromotoren mit und ohne ATEX-Zulassung zum Einsatz kommen</w:t>
      </w:r>
      <w:r w:rsidR="000433CC" w:rsidRPr="00D440CD">
        <w:rPr>
          <w:rFonts w:ascii="Helv" w:hAnsi="Helv"/>
          <w:snapToGrid w:val="0"/>
          <w:color w:val="000000"/>
        </w:rPr>
        <w:t>.</w:t>
      </w:r>
      <w:r w:rsidR="006702A4" w:rsidRPr="00D440CD">
        <w:rPr>
          <w:rFonts w:ascii="Helv" w:hAnsi="Helv"/>
          <w:snapToGrid w:val="0"/>
          <w:color w:val="000000"/>
        </w:rPr>
        <w:t xml:space="preserve"> </w:t>
      </w:r>
    </w:p>
    <w:p w:rsidR="006702A4" w:rsidRPr="00D440CD" w:rsidRDefault="006702A4">
      <w:pPr>
        <w:jc w:val="both"/>
        <w:rPr>
          <w:rFonts w:ascii="Helv" w:hAnsi="Helv"/>
          <w:snapToGrid w:val="0"/>
          <w:color w:val="000000"/>
        </w:rPr>
      </w:pPr>
    </w:p>
    <w:p w:rsidR="006702A4" w:rsidRPr="00D440CD" w:rsidRDefault="005C69A4" w:rsidP="006702A4">
      <w:r>
        <w:t>Foto</w:t>
      </w:r>
      <w:r w:rsidR="001E2ECE" w:rsidRPr="00D440CD">
        <w:t xml:space="preserve">: </w:t>
      </w:r>
      <w:r w:rsidR="006702A4" w:rsidRPr="00D440CD">
        <w:t>Die neuen vertikalen Behälterpumpen der Baureihe Estig</w:t>
      </w:r>
      <w:r w:rsidR="00EA2464" w:rsidRPr="00D440CD">
        <w:t>i</w:t>
      </w:r>
      <w:r w:rsidR="006702A4" w:rsidRPr="00D440CD">
        <w:t xml:space="preserve">a für den </w:t>
      </w:r>
      <w:r w:rsidR="00125D83" w:rsidRPr="00D440CD">
        <w:t xml:space="preserve">Einbau </w:t>
      </w:r>
      <w:r w:rsidR="006702A4" w:rsidRPr="00D440CD">
        <w:t xml:space="preserve">in unter atmosphärischem Druck stehende Behälter. </w:t>
      </w:r>
      <w:r w:rsidR="006702A4" w:rsidRPr="00D440CD">
        <w:rPr>
          <w:rFonts w:cs="Arial"/>
        </w:rPr>
        <w:t xml:space="preserve">© </w:t>
      </w:r>
      <w:r w:rsidR="0010107D" w:rsidRPr="00D440CD">
        <w:t>KSB SE &amp; Co. KGaA, Frankenthal</w:t>
      </w:r>
    </w:p>
    <w:sectPr w:rsidR="006702A4" w:rsidRPr="00D440CD" w:rsidSect="00125D83">
      <w:headerReference w:type="default" r:id="rId10"/>
      <w:pgSz w:w="11906" w:h="16838" w:code="9"/>
      <w:pgMar w:top="1418" w:right="2125" w:bottom="1134" w:left="1843" w:header="567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1CF1" w:rsidRDefault="000B1CF1">
      <w:r>
        <w:separator/>
      </w:r>
    </w:p>
  </w:endnote>
  <w:endnote w:type="continuationSeparator" w:id="0">
    <w:p w:rsidR="000B1CF1" w:rsidRDefault="000B1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RSBGO+FrutigerLTPro-Roman">
    <w:altName w:val="Frutiger LT Pro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1CF1" w:rsidRDefault="000B1CF1">
      <w:r>
        <w:separator/>
      </w:r>
    </w:p>
  </w:footnote>
  <w:footnote w:type="continuationSeparator" w:id="0">
    <w:p w:rsidR="000B1CF1" w:rsidRDefault="000B1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2ECE" w:rsidRDefault="001E2ECE">
    <w:pPr>
      <w:pStyle w:val="Kopfzeile"/>
      <w:tabs>
        <w:tab w:val="clear" w:pos="4536"/>
        <w:tab w:val="center" w:pos="5245"/>
        <w:tab w:val="left" w:pos="6237"/>
      </w:tabs>
      <w:rPr>
        <w:sz w:val="16"/>
      </w:rPr>
    </w:pPr>
    <w:r>
      <w:rPr>
        <w:sz w:val="10"/>
      </w:rPr>
      <w:fldChar w:fldCharType="begin"/>
    </w:r>
    <w:r>
      <w:rPr>
        <w:sz w:val="10"/>
      </w:rPr>
      <w:instrText xml:space="preserve"> FILENAME  \* MERGEFORMAT </w:instrText>
    </w:r>
    <w:r>
      <w:rPr>
        <w:sz w:val="10"/>
      </w:rPr>
      <w:fldChar w:fldCharType="separate"/>
    </w:r>
    <w:r w:rsidR="00B07243">
      <w:rPr>
        <w:noProof/>
        <w:sz w:val="10"/>
      </w:rPr>
      <w:t>D_Estigia_03.docx</w:t>
    </w:r>
    <w:r>
      <w:rPr>
        <w:sz w:val="10"/>
      </w:rPr>
      <w:fldChar w:fldCharType="end"/>
    </w:r>
    <w:r>
      <w:tab/>
    </w:r>
    <w:r>
      <w:rPr>
        <w:sz w:val="16"/>
      </w:rPr>
      <w:t xml:space="preserve">Seite </w:t>
    </w:r>
    <w:r>
      <w:rPr>
        <w:rStyle w:val="Seitenzahl"/>
        <w:sz w:val="16"/>
      </w:rPr>
      <w:fldChar w:fldCharType="begin"/>
    </w:r>
    <w:r>
      <w:rPr>
        <w:rStyle w:val="Seitenzahl"/>
        <w:sz w:val="16"/>
      </w:rPr>
      <w:instrText xml:space="preserve"> PAGE </w:instrText>
    </w:r>
    <w:r>
      <w:rPr>
        <w:rStyle w:val="Seitenzahl"/>
        <w:sz w:val="16"/>
      </w:rPr>
      <w:fldChar w:fldCharType="separate"/>
    </w:r>
    <w:r w:rsidR="00BD6376">
      <w:rPr>
        <w:rStyle w:val="Seitenzahl"/>
        <w:noProof/>
        <w:sz w:val="16"/>
      </w:rPr>
      <w:t>1</w:t>
    </w:r>
    <w:r>
      <w:rPr>
        <w:rStyle w:val="Seitenzahl"/>
        <w:sz w:val="16"/>
      </w:rPr>
      <w:fldChar w:fldCharType="end"/>
    </w:r>
    <w:r>
      <w:rPr>
        <w:rStyle w:val="Seitenzahl"/>
        <w:sz w:val="16"/>
      </w:rPr>
      <w:t xml:space="preserve"> von 1</w:t>
    </w:r>
  </w:p>
  <w:p w:rsidR="001E2ECE" w:rsidRDefault="001E2ECE">
    <w:pPr>
      <w:pStyle w:val="Kopfzeile"/>
      <w:tabs>
        <w:tab w:val="clear" w:pos="4536"/>
        <w:tab w:val="center" w:pos="5245"/>
      </w:tabs>
      <w:rPr>
        <w:sz w:val="16"/>
      </w:rPr>
    </w:pPr>
    <w:r>
      <w:rPr>
        <w:sz w:val="16"/>
      </w:rPr>
      <w:tab/>
    </w:r>
    <w:r>
      <w:rPr>
        <w:sz w:val="16"/>
      </w:rPr>
      <w:fldChar w:fldCharType="begin"/>
    </w:r>
    <w:r>
      <w:rPr>
        <w:sz w:val="16"/>
      </w:rPr>
      <w:instrText>DATE \@ "d. MMMM yyyy"</w:instrText>
    </w:r>
    <w:r>
      <w:rPr>
        <w:sz w:val="16"/>
      </w:rPr>
      <w:fldChar w:fldCharType="separate"/>
    </w:r>
    <w:r w:rsidR="00BD6376">
      <w:rPr>
        <w:noProof/>
        <w:sz w:val="16"/>
      </w:rPr>
      <w:t>8. März 2021</w:t>
    </w:r>
    <w:r>
      <w:rPr>
        <w:sz w:val="16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012646"/>
    <w:multiLevelType w:val="hybridMultilevel"/>
    <w:tmpl w:val="0002BC66"/>
    <w:lvl w:ilvl="0" w:tplc="247AD5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878B1E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346065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0C6186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18C793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DD8836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E10A4D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538A7C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3B6935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5AE96047"/>
    <w:multiLevelType w:val="singleLevel"/>
    <w:tmpl w:val="107EEF1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" w15:restartNumberingAfterBreak="0">
    <w:nsid w:val="7BF001BB"/>
    <w:multiLevelType w:val="singleLevel"/>
    <w:tmpl w:val="107EEF1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66C8"/>
    <w:rsid w:val="000433CC"/>
    <w:rsid w:val="000719F8"/>
    <w:rsid w:val="000B1CF1"/>
    <w:rsid w:val="000D2C4E"/>
    <w:rsid w:val="0010107D"/>
    <w:rsid w:val="00125D83"/>
    <w:rsid w:val="001E2ECE"/>
    <w:rsid w:val="001F3D39"/>
    <w:rsid w:val="00221453"/>
    <w:rsid w:val="00222436"/>
    <w:rsid w:val="00394634"/>
    <w:rsid w:val="00396CA0"/>
    <w:rsid w:val="003F11A0"/>
    <w:rsid w:val="00402A74"/>
    <w:rsid w:val="004B76C4"/>
    <w:rsid w:val="004E10FB"/>
    <w:rsid w:val="00546C9A"/>
    <w:rsid w:val="005525C2"/>
    <w:rsid w:val="005C69A4"/>
    <w:rsid w:val="006702A4"/>
    <w:rsid w:val="0068631E"/>
    <w:rsid w:val="006C40FC"/>
    <w:rsid w:val="006D6C09"/>
    <w:rsid w:val="00794C95"/>
    <w:rsid w:val="007A4F17"/>
    <w:rsid w:val="00805DCB"/>
    <w:rsid w:val="00854816"/>
    <w:rsid w:val="008642C5"/>
    <w:rsid w:val="008C4A1D"/>
    <w:rsid w:val="009454DF"/>
    <w:rsid w:val="009F66C8"/>
    <w:rsid w:val="00A44F21"/>
    <w:rsid w:val="00B07243"/>
    <w:rsid w:val="00B422A1"/>
    <w:rsid w:val="00B452A8"/>
    <w:rsid w:val="00B80A68"/>
    <w:rsid w:val="00B87FF5"/>
    <w:rsid w:val="00B93598"/>
    <w:rsid w:val="00B95AFE"/>
    <w:rsid w:val="00BD6376"/>
    <w:rsid w:val="00C731C6"/>
    <w:rsid w:val="00D02810"/>
    <w:rsid w:val="00D440CD"/>
    <w:rsid w:val="00E4584C"/>
    <w:rsid w:val="00EA2464"/>
    <w:rsid w:val="00EB4A1F"/>
    <w:rsid w:val="00EE6A5F"/>
    <w:rsid w:val="00F20D34"/>
    <w:rsid w:val="00FC7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D08E7D04-C336-438C-B2BB-2591EE9FA5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ascii="Arial" w:hAnsi="Arial"/>
      <w:sz w:val="24"/>
    </w:rPr>
  </w:style>
  <w:style w:type="paragraph" w:styleId="berschrift1">
    <w:name w:val="heading 1"/>
    <w:basedOn w:val="Standard"/>
    <w:next w:val="Standard"/>
    <w:qFormat/>
    <w:pPr>
      <w:keepNext/>
      <w:jc w:val="both"/>
      <w:outlineLvl w:val="0"/>
    </w:pPr>
    <w:rPr>
      <w:b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b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semiHidden/>
  </w:style>
  <w:style w:type="paragraph" w:styleId="Textkrper">
    <w:name w:val="Body Text"/>
    <w:basedOn w:val="Standard"/>
    <w:semiHidden/>
  </w:style>
  <w:style w:type="paragraph" w:styleId="Textkrper2">
    <w:name w:val="Body Text 2"/>
    <w:basedOn w:val="Standard"/>
    <w:semiHidden/>
    <w:pPr>
      <w:jc w:val="both"/>
    </w:pPr>
    <w:rPr>
      <w:b/>
      <w:sz w:val="28"/>
    </w:rPr>
  </w:style>
  <w:style w:type="paragraph" w:styleId="Textkrper3">
    <w:name w:val="Body Text 3"/>
    <w:basedOn w:val="Standard"/>
    <w:semiHidden/>
    <w:pPr>
      <w:jc w:val="both"/>
    </w:pPr>
    <w:rPr>
      <w:sz w:val="32"/>
    </w:rPr>
  </w:style>
  <w:style w:type="paragraph" w:styleId="Textkrper-Einzug2">
    <w:name w:val="Body Text Indent 2"/>
    <w:basedOn w:val="Standard"/>
    <w:semiHidden/>
    <w:pPr>
      <w:tabs>
        <w:tab w:val="left" w:pos="2127"/>
      </w:tabs>
      <w:ind w:left="567"/>
    </w:pPr>
    <w:rPr>
      <w:rFonts w:ascii="Times New Roman" w:hAnsi="Times New Roman"/>
      <w:color w:val="FF0000"/>
    </w:rPr>
  </w:style>
  <w:style w:type="paragraph" w:styleId="StandardWeb">
    <w:name w:val="Normal (Web)"/>
    <w:basedOn w:val="Standard"/>
    <w:uiPriority w:val="99"/>
    <w:semiHidden/>
    <w:unhideWhenUsed/>
    <w:rsid w:val="009454DF"/>
    <w:pPr>
      <w:spacing w:before="100" w:beforeAutospacing="1" w:after="100" w:afterAutospacing="1"/>
    </w:pPr>
    <w:rPr>
      <w:rFonts w:ascii="Times New Roman" w:hAnsi="Times New Roman"/>
      <w:szCs w:val="24"/>
    </w:rPr>
  </w:style>
  <w:style w:type="paragraph" w:customStyle="1" w:styleId="Default">
    <w:name w:val="Default"/>
    <w:rsid w:val="00125D83"/>
    <w:pPr>
      <w:autoSpaceDE w:val="0"/>
      <w:autoSpaceDN w:val="0"/>
      <w:adjustRightInd w:val="0"/>
    </w:pPr>
    <w:rPr>
      <w:rFonts w:ascii="MRSBGO+FrutigerLTPro-Roman" w:hAnsi="MRSBGO+FrutigerLTPro-Roman" w:cs="MRSBGO+FrutigerLTPro-Roman"/>
      <w:color w:val="000000"/>
      <w:sz w:val="24"/>
      <w:szCs w:val="24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0433C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0433CC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0433CC"/>
    <w:rPr>
      <w:rFonts w:ascii="Arial" w:hAnsi="Arial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433C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433CC"/>
    <w:rPr>
      <w:rFonts w:ascii="Arial" w:hAnsi="Arial"/>
      <w:b/>
      <w:bCs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433CC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433CC"/>
    <w:rPr>
      <w:rFonts w:ascii="Segoe UI" w:hAnsi="Segoe UI" w:cs="Segoe UI"/>
      <w:sz w:val="18"/>
      <w:szCs w:val="18"/>
    </w:rPr>
  </w:style>
  <w:style w:type="paragraph" w:styleId="berarbeitung">
    <w:name w:val="Revision"/>
    <w:hidden/>
    <w:uiPriority w:val="99"/>
    <w:semiHidden/>
    <w:rsid w:val="00794C95"/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467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1691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84422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818E772-D5FC-4973-8A5D-1F097386EF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0F4C3C8-FF12-414E-9AFA-2183C8BAFB53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DFE507EA-05F2-4181-AA6C-1B3B2F12F87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281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Für den stetig an Bedeutung gewinnenden Markt an der leckagefreien Pumpen bringt die KSB Aktiengesellschaft, Frankenthal eine neuentwickelte mehrstufige Hochdruckpumpe</vt:lpstr>
    </vt:vector>
  </TitlesOfParts>
  <Company>SBS ACC KSB</Company>
  <LinksUpToDate>false</LinksUpToDate>
  <CharactersWithSpaces>2238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Für den stetig an Bedeutung gewinnenden Markt an der leckagefreien Pumpen bringt die KSB Aktiengesellschaft, Frankenthal eine neuentwickelte mehrstufige Hochdruckpumpe</dc:title>
  <dc:subject/>
  <dc:creator>Christoph P. Pauly</dc:creator>
  <cp:keywords/>
  <dc:description/>
  <cp:lastModifiedBy>Steffel, Lena</cp:lastModifiedBy>
  <cp:revision>2</cp:revision>
  <cp:lastPrinted>2018-05-04T09:57:00Z</cp:lastPrinted>
  <dcterms:created xsi:type="dcterms:W3CDTF">2021-03-08T08:46:00Z</dcterms:created>
  <dcterms:modified xsi:type="dcterms:W3CDTF">2021-03-08T08:46:00Z</dcterms:modified>
</cp:coreProperties>
</file>