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03" w:rsidRPr="00140B03" w:rsidRDefault="00140B03" w:rsidP="00140B03">
      <w:pPr>
        <w:rPr>
          <w:b/>
        </w:rPr>
      </w:pPr>
      <w:bookmarkStart w:id="0" w:name="_GoBack"/>
      <w:bookmarkEnd w:id="0"/>
      <w:r>
        <w:rPr>
          <w:b/>
        </w:rPr>
        <w:t>New waste water pump with efficient hydraulic system</w:t>
      </w:r>
    </w:p>
    <w:p w:rsidR="00ED4EDF" w:rsidRDefault="00ED4EDF" w:rsidP="00140B03"/>
    <w:p w:rsidR="009634B8" w:rsidRPr="0072187F" w:rsidRDefault="00140B03" w:rsidP="0072187F">
      <w:r>
        <w:t>IFAT 2020 (</w:t>
      </w:r>
      <w:r w:rsidR="006A6E70">
        <w:t>7</w:t>
      </w:r>
      <w:r>
        <w:t xml:space="preserve"> - </w:t>
      </w:r>
      <w:r w:rsidR="006A6E70">
        <w:t>11</w:t>
      </w:r>
      <w:r>
        <w:t xml:space="preserve"> </w:t>
      </w:r>
      <w:r w:rsidR="006A6E70">
        <w:t>September</w:t>
      </w:r>
      <w:r>
        <w:t xml:space="preserve"> 2020) will see the KSB Group present its new submersible motor pump of the Amarex type series as one of its novelties on display.</w:t>
      </w:r>
      <w:r w:rsidR="005B31CA">
        <w:t xml:space="preserve"> </w:t>
      </w:r>
      <w:r w:rsidR="00505DF6">
        <w:t>The pumps are employed in applications like waste water and sludge treatment as well as the transport of stormwater.</w:t>
      </w:r>
      <w:r w:rsidR="005B31CA">
        <w:t xml:space="preserve"> </w:t>
      </w:r>
      <w:r w:rsidR="00250737">
        <w:t>They can handle waste water with long fibres and solid substances, fluids containing gas as well as sludges, service water and grey water</w:t>
      </w:r>
      <w:r w:rsidR="00ED4EDF">
        <w:t xml:space="preserve"> </w:t>
      </w:r>
      <w:r w:rsidR="00DB494F">
        <w:t xml:space="preserve">and are equipped with either free-flow impellers (F-max) or </w:t>
      </w:r>
      <w:r w:rsidR="0057694F" w:rsidRPr="00432BDF">
        <w:t>open</w:t>
      </w:r>
      <w:r w:rsidR="0057694F">
        <w:t xml:space="preserve"> </w:t>
      </w:r>
      <w:r w:rsidR="00DB494F">
        <w:t>two-vane impellers (D-max).</w:t>
      </w:r>
    </w:p>
    <w:p w:rsidR="009634B8" w:rsidRDefault="009634B8" w:rsidP="009634B8"/>
    <w:p w:rsidR="00A66FB2" w:rsidRDefault="009634B8" w:rsidP="009634B8">
      <w:r>
        <w:t xml:space="preserve">So customers can choose the right impeller type depending on their requirements: low waste water flow rates at high heads and high flow rates at lower heads. </w:t>
      </w:r>
      <w:r w:rsidR="00724246">
        <w:t>Pump variants featuring D-max impellers are optionally available with D-flector which significantly increases resistance to clogging.</w:t>
      </w:r>
      <w:r w:rsidR="005B31CA">
        <w:t xml:space="preserve"> </w:t>
      </w:r>
      <w:r w:rsidR="00A66FB2">
        <w:t>A multitude of material and mechanical seal variants ensures that the user can transport a wide range of corrosive and abrasive fluids.</w:t>
      </w:r>
    </w:p>
    <w:p w:rsidR="00A66FB2" w:rsidRDefault="00A66FB2" w:rsidP="009634B8"/>
    <w:p w:rsidR="00C905AD" w:rsidRDefault="009634B8" w:rsidP="00140B03">
      <w:r>
        <w:t>The impellers’ non-clogging feature markedly reduces maintenance requirements compared with conventional designs</w:t>
      </w:r>
      <w:r w:rsidR="00ED4EDF">
        <w:t xml:space="preserve"> </w:t>
      </w:r>
      <w:r>
        <w:t>and the pumps’ high levels of hydraulic efficiency combined with high-efficiency IE3 motors make for low energy consumption during operation.</w:t>
      </w:r>
      <w:r w:rsidR="005B31CA">
        <w:t xml:space="preserve"> </w:t>
      </w:r>
      <w:r w:rsidR="00782EEE">
        <w:t>The type series has a maximum head of 42 metres and a maximum flow rate of 320 m</w:t>
      </w:r>
      <w:r w:rsidR="00782EEE">
        <w:rPr>
          <w:vertAlign w:val="superscript"/>
        </w:rPr>
        <w:t>3</w:t>
      </w:r>
      <w:r w:rsidR="00782EEE">
        <w:t>/h.</w:t>
      </w:r>
      <w:r w:rsidR="005B31CA">
        <w:t xml:space="preserve"> </w:t>
      </w:r>
      <w:r w:rsidR="00C905AD">
        <w:t>When designing Amarex, engineers attached great importance to the pumps achieving a long service life.</w:t>
      </w:r>
      <w:r w:rsidR="005B31CA">
        <w:t xml:space="preserve"> </w:t>
      </w:r>
      <w:r w:rsidR="00C905AD">
        <w:t>This is ensured by a generously dimensioned motor, robust rolling element bearings and a corrosion-resistant stainless steel shaft.</w:t>
      </w:r>
    </w:p>
    <w:p w:rsidR="00C905AD" w:rsidRDefault="00C905AD" w:rsidP="00140B03"/>
    <w:p w:rsidR="002465FB" w:rsidRDefault="00925AC2" w:rsidP="00140B03">
      <w:r>
        <w:t>An environmentally friendly, non-toxic oil fill provides continuous lubrication of the mechanical seal.</w:t>
      </w:r>
      <w:r w:rsidR="005B31CA">
        <w:t xml:space="preserve"> </w:t>
      </w:r>
      <w:r w:rsidR="00ED3E0B">
        <w:t xml:space="preserve">As is common practice with this type of pump, installation in the pump sump is effected via a duckfoot bend. </w:t>
      </w:r>
      <w:r w:rsidR="00F36763">
        <w:t>A large range of adapter claws also allows the use of duckfoot bends from other manufacturers so that a change of make is possible without requiring a major installation effort.</w:t>
      </w:r>
      <w:r w:rsidR="005B31CA">
        <w:t xml:space="preserve"> </w:t>
      </w:r>
      <w:r w:rsidR="00F36763">
        <w:t>Sealing between duckfoot bend and the pump discharge flange is by a newly developed, absolutely water-tight and durable U-profile ring.</w:t>
      </w:r>
      <w:r w:rsidR="005B31CA">
        <w:t xml:space="preserve"> </w:t>
      </w:r>
      <w:r w:rsidR="00F36763">
        <w:t>Users also have several options when choosing the arrangement for placing the pump on the duckfoot bend: They can opt for guide hoop, guide wire, single guide rail or twin guide rail arrangement.</w:t>
      </w:r>
    </w:p>
    <w:p w:rsidR="00ED3E0B" w:rsidRDefault="00ED3E0B" w:rsidP="00140B03"/>
    <w:p w:rsidR="003A7E83" w:rsidRDefault="003A7E83" w:rsidP="00140B03">
      <w:r>
        <w:t>The pumps are designed for ease of repair.</w:t>
      </w:r>
      <w:r w:rsidR="005B31CA">
        <w:t xml:space="preserve"> </w:t>
      </w:r>
      <w:r w:rsidR="0064145C">
        <w:t xml:space="preserve">At the end of the pump’s life cycle, </w:t>
      </w:r>
      <w:r w:rsidR="0057694F" w:rsidRPr="00432BDF">
        <w:t>most of</w:t>
      </w:r>
      <w:r w:rsidR="0064145C" w:rsidRPr="00432BDF">
        <w:t xml:space="preserve"> </w:t>
      </w:r>
      <w:r w:rsidR="0064145C">
        <w:t>components can be dismantled and recycled.</w:t>
      </w:r>
    </w:p>
    <w:p w:rsidR="002465FB" w:rsidRDefault="002465FB" w:rsidP="00140B03"/>
    <w:p w:rsidR="002465FB" w:rsidRDefault="002465FB" w:rsidP="00140B03">
      <w:r>
        <w:t xml:space="preserve">Photo: The KSB Group’s new Amarex waste water pump stands out due to its high level of hydraulic efficiency combined with a high-efficiency motor. ©KSB SE &amp; Co. KGaA, Frankenthal </w:t>
      </w:r>
    </w:p>
    <w:sectPr w:rsidR="002465FB" w:rsidSect="002465FB">
      <w:headerReference w:type="even" r:id="rId7"/>
      <w:headerReference w:type="default" r:id="rId8"/>
      <w:footerReference w:type="default" r:id="rId9"/>
      <w:pgSz w:w="11906" w:h="16838" w:code="9"/>
      <w:pgMar w:top="709" w:right="794" w:bottom="1276" w:left="1134" w:header="567" w:footer="170" w:gutter="0"/>
      <w:cols w:space="720"/>
      <w:titlePg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D7A" w:rsidRDefault="00783D7A">
      <w:r>
        <w:separator/>
      </w:r>
    </w:p>
  </w:endnote>
  <w:endnote w:type="continuationSeparator" w:id="0">
    <w:p w:rsidR="00783D7A" w:rsidRDefault="0078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79"/>
    </w:tblGrid>
    <w:tr w:rsidR="00A4139C">
      <w:trPr>
        <w:trHeight w:hRule="exact" w:val="1320"/>
      </w:trPr>
      <w:tc>
        <w:tcPr>
          <w:tcW w:w="9979" w:type="dxa"/>
        </w:tcPr>
        <w:p w:rsidR="00A4139C" w:rsidRDefault="00170D6E">
          <w:pPr>
            <w:pStyle w:val="Fuzeile"/>
          </w:pPr>
          <w:bookmarkStart w:id="2" w:name="Fusszeile"/>
          <w:r>
            <w:rPr>
              <w:noProof/>
              <w:lang w:val="de-DE"/>
            </w:rPr>
            <w:drawing>
              <wp:inline distT="0" distB="0" distL="0" distR="0" wp14:anchorId="59085F8A" wp14:editId="31460B93">
                <wp:extent cx="6322695" cy="855980"/>
                <wp:effectExtent l="0" t="0" r="1905" b="1270"/>
                <wp:docPr id="38" name="Bild 2" descr="Fussze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ussze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2695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</w:tr>
  </w:tbl>
  <w:p w:rsidR="00A4139C" w:rsidRDefault="00A413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D7A" w:rsidRDefault="00783D7A">
      <w:r>
        <w:separator/>
      </w:r>
    </w:p>
  </w:footnote>
  <w:footnote w:type="continuationSeparator" w:id="0">
    <w:p w:rsidR="00783D7A" w:rsidRDefault="00783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9C" w:rsidRDefault="0086737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A4139C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4139C">
      <w:rPr>
        <w:rStyle w:val="Seitenzahl"/>
      </w:rPr>
      <w:t>1</w:t>
    </w:r>
    <w:r>
      <w:rPr>
        <w:rStyle w:val="Seitenzahl"/>
      </w:rPr>
      <w:fldChar w:fldCharType="end"/>
    </w:r>
  </w:p>
  <w:p w:rsidR="00A4139C" w:rsidRDefault="00A413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9C" w:rsidRDefault="00A4139C">
    <w:pPr>
      <w:framePr w:w="567" w:wrap="around" w:vAnchor="text" w:hAnchor="margin" w:xAlign="center" w:y="1"/>
      <w:jc w:val="center"/>
    </w:pPr>
    <w:bookmarkStart w:id="1" w:name="Logo"/>
    <w:r>
      <w:t xml:space="preserve">- </w:t>
    </w:r>
    <w:r w:rsidR="00170D6E">
      <w:fldChar w:fldCharType="begin"/>
    </w:r>
    <w:r w:rsidR="00170D6E">
      <w:instrText xml:space="preserve"> PAGE </w:instrText>
    </w:r>
    <w:r w:rsidR="00170D6E">
      <w:fldChar w:fldCharType="separate"/>
    </w:r>
    <w:r w:rsidR="002F7097">
      <w:t>2</w:t>
    </w:r>
    <w:r w:rsidR="00170D6E">
      <w:fldChar w:fldCharType="end"/>
    </w:r>
    <w:r>
      <w:t xml:space="preserve"> -</w:t>
    </w:r>
  </w:p>
  <w:p w:rsidR="00A4139C" w:rsidRDefault="00170D6E">
    <w:pPr>
      <w:pStyle w:val="Kopfzeile"/>
      <w:jc w:val="right"/>
    </w:pPr>
    <w:r>
      <w:rPr>
        <w:noProof/>
        <w:lang w:val="de-DE"/>
      </w:rPr>
      <w:drawing>
        <wp:inline distT="0" distB="0" distL="0" distR="0" wp14:anchorId="7DA2ED4D" wp14:editId="6E76A798">
          <wp:extent cx="1190625" cy="513715"/>
          <wp:effectExtent l="0" t="0" r="9525" b="635"/>
          <wp:docPr id="37" name="Bild 1" descr="KSB%20Logo_2c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SB%20Logo_2c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A4139C" w:rsidRDefault="00A4139C">
    <w:pPr>
      <w:pStyle w:val="Kopfzeile"/>
      <w:jc w:val="right"/>
    </w:pPr>
  </w:p>
  <w:p w:rsidR="00A4139C" w:rsidRDefault="00A4139C">
    <w:pPr>
      <w:pStyle w:val="Kopfzeile"/>
      <w:jc w:val="right"/>
    </w:pPr>
  </w:p>
  <w:p w:rsidR="00A4139C" w:rsidRDefault="00A413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F2C91"/>
    <w:multiLevelType w:val="hybridMultilevel"/>
    <w:tmpl w:val="E5023A5E"/>
    <w:lvl w:ilvl="0" w:tplc="8558F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49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C7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BAD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0C2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E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49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541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8D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227135"/>
    <w:multiLevelType w:val="hybridMultilevel"/>
    <w:tmpl w:val="BB2651A2"/>
    <w:lvl w:ilvl="0" w:tplc="4A6A5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0A4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CB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A6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E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A62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E5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B22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E88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03"/>
    <w:rsid w:val="00010238"/>
    <w:rsid w:val="00060A1F"/>
    <w:rsid w:val="00091611"/>
    <w:rsid w:val="00140B03"/>
    <w:rsid w:val="00141B5E"/>
    <w:rsid w:val="00170D6E"/>
    <w:rsid w:val="00195C28"/>
    <w:rsid w:val="0020624E"/>
    <w:rsid w:val="002465FB"/>
    <w:rsid w:val="00250737"/>
    <w:rsid w:val="002F7097"/>
    <w:rsid w:val="0030333F"/>
    <w:rsid w:val="003A7E83"/>
    <w:rsid w:val="003B1298"/>
    <w:rsid w:val="0040026F"/>
    <w:rsid w:val="00432BDF"/>
    <w:rsid w:val="00451AC3"/>
    <w:rsid w:val="00472373"/>
    <w:rsid w:val="004A6F3C"/>
    <w:rsid w:val="004C62DB"/>
    <w:rsid w:val="004F540D"/>
    <w:rsid w:val="00505DF6"/>
    <w:rsid w:val="00514B86"/>
    <w:rsid w:val="00563D15"/>
    <w:rsid w:val="0057694F"/>
    <w:rsid w:val="005B31CA"/>
    <w:rsid w:val="0064145C"/>
    <w:rsid w:val="00674B15"/>
    <w:rsid w:val="006A6E70"/>
    <w:rsid w:val="006A7337"/>
    <w:rsid w:val="00710BBB"/>
    <w:rsid w:val="0072187F"/>
    <w:rsid w:val="00724246"/>
    <w:rsid w:val="00782EEE"/>
    <w:rsid w:val="00783D7A"/>
    <w:rsid w:val="007D0631"/>
    <w:rsid w:val="00842405"/>
    <w:rsid w:val="0086737F"/>
    <w:rsid w:val="00925AC2"/>
    <w:rsid w:val="009634B8"/>
    <w:rsid w:val="009B036D"/>
    <w:rsid w:val="00A4139C"/>
    <w:rsid w:val="00A66FB2"/>
    <w:rsid w:val="00AB1736"/>
    <w:rsid w:val="00B26ECC"/>
    <w:rsid w:val="00C905AD"/>
    <w:rsid w:val="00CD3A1F"/>
    <w:rsid w:val="00D4279C"/>
    <w:rsid w:val="00DB388C"/>
    <w:rsid w:val="00DB494F"/>
    <w:rsid w:val="00E35697"/>
    <w:rsid w:val="00ED3E0B"/>
    <w:rsid w:val="00ED4EDF"/>
    <w:rsid w:val="00F3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ADBB27B-8AEA-4192-A7F2-9008A920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737F"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rsid w:val="0086737F"/>
    <w:pPr>
      <w:keepNext/>
      <w:spacing w:line="240" w:lineRule="exact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673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6737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86737F"/>
    <w:pPr>
      <w:spacing w:line="220" w:lineRule="exact"/>
    </w:pPr>
    <w:rPr>
      <w:sz w:val="16"/>
      <w:szCs w:val="16"/>
    </w:rPr>
  </w:style>
  <w:style w:type="character" w:styleId="Seitenzahl">
    <w:name w:val="page number"/>
    <w:basedOn w:val="Absatz-Standardschriftart"/>
    <w:rsid w:val="0086737F"/>
  </w:style>
  <w:style w:type="paragraph" w:styleId="Listenabsatz">
    <w:name w:val="List Paragraph"/>
    <w:basedOn w:val="Standard"/>
    <w:uiPriority w:val="34"/>
    <w:qFormat/>
    <w:rsid w:val="00505DF6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72187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40026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4002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0026F"/>
    <w:rPr>
      <w:rFonts w:ascii="Arial" w:hAnsi="Arial" w:cs="Arial"/>
      <w:lang w:val="en-GB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002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0026F"/>
    <w:rPr>
      <w:rFonts w:ascii="Arial" w:hAnsi="Arial" w:cs="Arial"/>
      <w:b/>
      <w:bCs/>
      <w:lang w:val="en-GB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4002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0026F"/>
    <w:rPr>
      <w:rFonts w:ascii="Segoe UI" w:hAnsi="Segoe UI" w:cs="Segoe UI"/>
      <w:sz w:val="18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7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1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0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46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28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83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KSB Aktiengesellschaft • Johann-Klein-Straße 9 • 67227 Frankenthal</vt:lpstr>
    </vt:vector>
  </TitlesOfParts>
  <Company>KSB Group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KSB Aktiengesellschaft • Johann-Klein-Straße 9 • 67227 Frankenthal</dc:title>
  <dc:subject/>
  <dc:creator>Pauly, Christoph</dc:creator>
  <cp:keywords/>
  <dc:description/>
  <cp:lastModifiedBy>Steffel, Lena</cp:lastModifiedBy>
  <cp:revision>2</cp:revision>
  <cp:lastPrinted>2006-04-21T08:51:00Z</cp:lastPrinted>
  <dcterms:created xsi:type="dcterms:W3CDTF">2021-03-09T13:27:00Z</dcterms:created>
  <dcterms:modified xsi:type="dcterms:W3CDTF">2021-03-09T13:27:00Z</dcterms:modified>
</cp:coreProperties>
</file>