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6AD851" w14:textId="77777777" w:rsidR="00FB03BE" w:rsidRPr="00DC39C6" w:rsidRDefault="00927CA9" w:rsidP="00E4568B">
      <w:pPr>
        <w:rPr>
          <w:b/>
          <w:sz w:val="24"/>
          <w:szCs w:val="24"/>
        </w:rPr>
      </w:pPr>
      <w:bookmarkStart w:id="0" w:name="_GoBack"/>
      <w:bookmarkEnd w:id="0"/>
      <w:r>
        <w:rPr>
          <w:b/>
          <w:sz w:val="24"/>
        </w:rPr>
        <w:t xml:space="preserve">Neue hocheffiziente Druckerhöhungsanlagen </w:t>
      </w:r>
    </w:p>
    <w:p w14:paraId="3EE34B2F" w14:textId="77777777" w:rsidR="007C3B5E" w:rsidRDefault="007C3B5E" w:rsidP="001624E5">
      <w:pPr>
        <w:rPr>
          <w:sz w:val="24"/>
        </w:rPr>
      </w:pPr>
    </w:p>
    <w:p w14:paraId="70F98406" w14:textId="77777777" w:rsidR="002F6527" w:rsidRPr="00DC39C6" w:rsidRDefault="00177C64" w:rsidP="001624E5">
      <w:pPr>
        <w:rPr>
          <w:sz w:val="24"/>
          <w:szCs w:val="24"/>
        </w:rPr>
      </w:pPr>
      <w:r>
        <w:rPr>
          <w:sz w:val="24"/>
        </w:rPr>
        <w:t xml:space="preserve">Zur ISH 2019 stellt die KSB-Gruppe eine ganze Palette an neuen Druckerhöhungsanlagen vor. Eine der Neuvorstellungen ist KSB Delta Solo, eine Baureihe vollautomatischer, anschlussfertiger Einzelpumpen-Aggregate. </w:t>
      </w:r>
    </w:p>
    <w:p w14:paraId="2F4AC9E6" w14:textId="77777777" w:rsidR="002F6527" w:rsidRPr="00DC39C6" w:rsidRDefault="002F6527" w:rsidP="001624E5">
      <w:pPr>
        <w:rPr>
          <w:sz w:val="24"/>
          <w:szCs w:val="24"/>
        </w:rPr>
      </w:pPr>
    </w:p>
    <w:p w14:paraId="63304FCC" w14:textId="77777777" w:rsidR="00D76A47" w:rsidRPr="00DC39C6" w:rsidRDefault="00D76A47" w:rsidP="00D76A47">
      <w:pPr>
        <w:rPr>
          <w:sz w:val="24"/>
          <w:szCs w:val="24"/>
        </w:rPr>
      </w:pPr>
      <w:r>
        <w:rPr>
          <w:sz w:val="24"/>
        </w:rPr>
        <w:t>Diese sind mit je einer mehrstufigen Movitec-Pumpe und motormontiertem Frequenzumrichter ausgerüstet. Die Bedarfsanpassung erfolgt über die Erhöhung beziehungsweise die Absenkung der Drehzahl.</w:t>
      </w:r>
    </w:p>
    <w:p w14:paraId="4F723DBE" w14:textId="77777777" w:rsidR="00E4568B" w:rsidRPr="00DC39C6" w:rsidRDefault="00E4568B" w:rsidP="00D76A47">
      <w:pPr>
        <w:rPr>
          <w:sz w:val="24"/>
          <w:szCs w:val="24"/>
        </w:rPr>
      </w:pPr>
    </w:p>
    <w:p w14:paraId="6CB78CCB" w14:textId="7B0C0FD3" w:rsidR="00E4568B" w:rsidRPr="00DC39C6" w:rsidRDefault="001F1850" w:rsidP="006559DA">
      <w:pPr>
        <w:rPr>
          <w:sz w:val="24"/>
          <w:szCs w:val="24"/>
        </w:rPr>
      </w:pPr>
      <w:r>
        <w:rPr>
          <w:sz w:val="24"/>
        </w:rPr>
        <w:t>Die SPV-Ausführung ist mit hocheffizienten Synchron-Reluktanzmotoren (0,55 bis 7,5 kW) der Baureihe SuPremE IE5 ausgerüstet, ausgelegt für Dreiphasenwechselstrom mit 400 Volt, in Kombination mit dem PumpDrive Eco. Die preiswertere MPV-Variante (0,55 bis 1,5 kW) ist mit einem dreiphasigen IE3-</w:t>
      </w:r>
      <w:r w:rsidR="006559DA">
        <w:rPr>
          <w:sz w:val="24"/>
        </w:rPr>
        <w:t>M</w:t>
      </w:r>
      <w:r>
        <w:rPr>
          <w:sz w:val="24"/>
        </w:rPr>
        <w:t>otor ausgestattet, der an eine einphasige 230-Volt-Stromversorgung angeschlossen werden kann. Alle Baureihen benötigen eine Netzfrequenz von 50 Hz.</w:t>
      </w:r>
    </w:p>
    <w:p w14:paraId="58A141BA" w14:textId="77777777" w:rsidR="00D76A47" w:rsidRPr="00DC39C6" w:rsidRDefault="00D76A47" w:rsidP="00927CA9">
      <w:pPr>
        <w:rPr>
          <w:sz w:val="24"/>
          <w:szCs w:val="24"/>
        </w:rPr>
      </w:pPr>
    </w:p>
    <w:p w14:paraId="3D6371AF" w14:textId="77777777" w:rsidR="0032339F" w:rsidRPr="00DC39C6" w:rsidRDefault="00927CA9" w:rsidP="00927CA9">
      <w:pPr>
        <w:rPr>
          <w:sz w:val="24"/>
          <w:szCs w:val="24"/>
        </w:rPr>
      </w:pPr>
      <w:r>
        <w:rPr>
          <w:sz w:val="24"/>
        </w:rPr>
        <w:t>Das Einschalten der Pumpe erfolgt durch den Druckabfall im Leitungsnetz, der beim Öffnen eines Verbrauchers entsteht. Bei wieder ansteigendem Druck im Membranbehälter schaltet sich die KSB Delta Solo aus. Kommt es zu einem Wassermangel im Zulauf, stoppt der Frequenzumrichter den Motor automatisch und verhindert so einen schädlichen Trockenlauf.</w:t>
      </w:r>
    </w:p>
    <w:p w14:paraId="2B0D1CBE" w14:textId="77777777" w:rsidR="00F61371" w:rsidRPr="00DC39C6" w:rsidRDefault="00F61371" w:rsidP="00F61371">
      <w:pPr>
        <w:rPr>
          <w:sz w:val="24"/>
          <w:szCs w:val="24"/>
        </w:rPr>
      </w:pPr>
    </w:p>
    <w:p w14:paraId="31147A85" w14:textId="77777777" w:rsidR="00927CA9" w:rsidRPr="00DC39C6" w:rsidRDefault="00F61371" w:rsidP="00927CA9">
      <w:pPr>
        <w:rPr>
          <w:sz w:val="24"/>
          <w:szCs w:val="24"/>
        </w:rPr>
      </w:pPr>
      <w:r>
        <w:rPr>
          <w:sz w:val="24"/>
        </w:rPr>
        <w:t>Alle Anlagen werden im Werk anschlussfertig vormontiert und getestet. Das erlaubt dem Servicepersonal eine einfache und schnelle Inbetriebnahme Um eine Kontamination der Komponenten zu vermeiden, finden die Produktion und die Montage der KSB Delta Solo unter strengen hygienischen Bedingungen statt.</w:t>
      </w:r>
    </w:p>
    <w:p w14:paraId="4365690B" w14:textId="77777777" w:rsidR="001341F0" w:rsidRDefault="001341F0" w:rsidP="00927CA9">
      <w:pPr>
        <w:rPr>
          <w:sz w:val="24"/>
        </w:rPr>
      </w:pPr>
    </w:p>
    <w:p w14:paraId="3DB46521" w14:textId="247BA4D6" w:rsidR="003C5BD2" w:rsidRDefault="003C5BD2" w:rsidP="00927CA9">
      <w:pPr>
        <w:rPr>
          <w:sz w:val="24"/>
        </w:rPr>
      </w:pPr>
      <w:r>
        <w:rPr>
          <w:sz w:val="24"/>
        </w:rPr>
        <w:t xml:space="preserve">Die SVP-Variante verfügt über eine Rohrfüllfunktion, die bei </w:t>
      </w:r>
      <w:r w:rsidR="00640698">
        <w:rPr>
          <w:sz w:val="24"/>
        </w:rPr>
        <w:t xml:space="preserve">der </w:t>
      </w:r>
      <w:r>
        <w:rPr>
          <w:sz w:val="24"/>
        </w:rPr>
        <w:t xml:space="preserve">Inbetriebnahme oder </w:t>
      </w:r>
      <w:r w:rsidR="00640698">
        <w:rPr>
          <w:sz w:val="24"/>
        </w:rPr>
        <w:t xml:space="preserve">bei einem </w:t>
      </w:r>
      <w:r>
        <w:rPr>
          <w:sz w:val="24"/>
        </w:rPr>
        <w:t xml:space="preserve">Wasserverlust im Rohrleitungssystem ein sanftes, langsames Anfahren der Anlage ermöglicht. </w:t>
      </w:r>
    </w:p>
    <w:p w14:paraId="366F776A" w14:textId="77777777" w:rsidR="001341F0" w:rsidRPr="00DC39C6" w:rsidRDefault="001341F0" w:rsidP="00927CA9">
      <w:pPr>
        <w:rPr>
          <w:sz w:val="24"/>
          <w:szCs w:val="24"/>
        </w:rPr>
      </w:pPr>
    </w:p>
    <w:p w14:paraId="7C8453BB" w14:textId="21EBB3F5" w:rsidR="00D07748" w:rsidRPr="00DC39C6" w:rsidRDefault="00D07748" w:rsidP="00466C3A">
      <w:pPr>
        <w:rPr>
          <w:sz w:val="24"/>
          <w:szCs w:val="24"/>
        </w:rPr>
      </w:pPr>
      <w:r>
        <w:rPr>
          <w:sz w:val="24"/>
        </w:rPr>
        <w:t xml:space="preserve">Alle medienberührten Bauteile sind entweder aus Edelstahl, Messing oder aus pulverbeschichteten Materialien. Das sorgt für Korrosionsbeständigkeit und lange Standzeiten. Die Anlagen besitzen eine Zulassung entsprechend der französischen ACS- und der britischen WRAS-Trinkwasserverordnungen, die zu den strengsten Richtlinien in ganz Europa gehören. Die verbauten </w:t>
      </w:r>
      <w:r w:rsidR="00605B6C">
        <w:rPr>
          <w:sz w:val="24"/>
        </w:rPr>
        <w:t>Armaturen</w:t>
      </w:r>
      <w:r>
        <w:rPr>
          <w:sz w:val="24"/>
        </w:rPr>
        <w:t xml:space="preserve"> haben eine deutsche Trinkwasserzulassung gemäß DVGW.</w:t>
      </w:r>
    </w:p>
    <w:p w14:paraId="6D44F6E5" w14:textId="77777777" w:rsidR="001341F0" w:rsidRDefault="001341F0" w:rsidP="000D6815">
      <w:pPr>
        <w:rPr>
          <w:sz w:val="24"/>
        </w:rPr>
      </w:pPr>
    </w:p>
    <w:p w14:paraId="709F77DF" w14:textId="09C0A3C9" w:rsidR="00232AB7" w:rsidRDefault="00232AB7" w:rsidP="001341F0">
      <w:pPr>
        <w:rPr>
          <w:sz w:val="24"/>
        </w:rPr>
      </w:pPr>
      <w:r>
        <w:rPr>
          <w:sz w:val="24"/>
        </w:rPr>
        <w:t>Einzigartig ist die neue Konstruktion de</w:t>
      </w:r>
      <w:r w:rsidR="00605B6C">
        <w:rPr>
          <w:sz w:val="24"/>
        </w:rPr>
        <w:t>s</w:t>
      </w:r>
      <w:r>
        <w:rPr>
          <w:sz w:val="24"/>
        </w:rPr>
        <w:t xml:space="preserve"> </w:t>
      </w:r>
      <w:r w:rsidR="00605B6C">
        <w:rPr>
          <w:sz w:val="24"/>
        </w:rPr>
        <w:t xml:space="preserve">in der Länge verstellbaren </w:t>
      </w:r>
      <w:r>
        <w:rPr>
          <w:sz w:val="24"/>
        </w:rPr>
        <w:t>Rückschlag</w:t>
      </w:r>
      <w:r w:rsidR="00605B6C">
        <w:rPr>
          <w:sz w:val="24"/>
        </w:rPr>
        <w:t>ventils</w:t>
      </w:r>
      <w:r>
        <w:rPr>
          <w:sz w:val="24"/>
        </w:rPr>
        <w:t>, da</w:t>
      </w:r>
      <w:r w:rsidR="00605B6C">
        <w:rPr>
          <w:sz w:val="24"/>
        </w:rPr>
        <w:t>s</w:t>
      </w:r>
      <w:r>
        <w:rPr>
          <w:sz w:val="24"/>
        </w:rPr>
        <w:t xml:space="preserve"> einen einfachen Ausbau der Pumpe für Wartungszwecke ermöglicht.</w:t>
      </w:r>
    </w:p>
    <w:p w14:paraId="58D8843F" w14:textId="77777777" w:rsidR="001341F0" w:rsidRPr="00DC39C6" w:rsidRDefault="001341F0" w:rsidP="001341F0">
      <w:pPr>
        <w:rPr>
          <w:sz w:val="24"/>
          <w:szCs w:val="24"/>
        </w:rPr>
      </w:pPr>
    </w:p>
    <w:p w14:paraId="72CCE0AA" w14:textId="346276CC" w:rsidR="00FB03BE" w:rsidRPr="00DC39C6" w:rsidRDefault="00DE67CF" w:rsidP="000D6815">
      <w:pPr>
        <w:rPr>
          <w:sz w:val="24"/>
          <w:szCs w:val="24"/>
        </w:rPr>
      </w:pPr>
      <w:r>
        <w:rPr>
          <w:sz w:val="24"/>
        </w:rPr>
        <w:t>Foto: In der SV</w:t>
      </w:r>
      <w:r w:rsidR="0001478F">
        <w:rPr>
          <w:sz w:val="24"/>
        </w:rPr>
        <w:t>P</w:t>
      </w:r>
      <w:r>
        <w:rPr>
          <w:sz w:val="24"/>
        </w:rPr>
        <w:t>-Ausführung</w:t>
      </w:r>
      <w:r w:rsidR="00F30E2A">
        <w:rPr>
          <w:sz w:val="24"/>
        </w:rPr>
        <w:t xml:space="preserve"> sind die neuen KSB-Delta-</w:t>
      </w:r>
      <w:r w:rsidR="00FB03BE">
        <w:rPr>
          <w:sz w:val="24"/>
        </w:rPr>
        <w:t>Solo</w:t>
      </w:r>
      <w:r>
        <w:rPr>
          <w:sz w:val="24"/>
        </w:rPr>
        <w:t>-</w:t>
      </w:r>
      <w:r w:rsidR="00FB03BE">
        <w:rPr>
          <w:sz w:val="24"/>
        </w:rPr>
        <w:t>Druckerhöhungsanlagen mit hocheffizienten Synchron-Reluktanzmotoren der Baureihe Su</w:t>
      </w:r>
      <w:r>
        <w:rPr>
          <w:sz w:val="24"/>
        </w:rPr>
        <w:t>PremE</w:t>
      </w:r>
      <w:r w:rsidR="00FB03BE">
        <w:rPr>
          <w:sz w:val="24"/>
        </w:rPr>
        <w:t xml:space="preserve"> ausgerüstet.</w:t>
      </w:r>
    </w:p>
    <w:p w14:paraId="38D3D4DE" w14:textId="77777777" w:rsidR="00FB03BE" w:rsidRPr="00DC39C6" w:rsidRDefault="00FB03BE" w:rsidP="000D6815">
      <w:pPr>
        <w:rPr>
          <w:sz w:val="24"/>
          <w:szCs w:val="24"/>
        </w:rPr>
      </w:pPr>
    </w:p>
    <w:p w14:paraId="319A0CE9" w14:textId="77777777" w:rsidR="00FB03BE" w:rsidRPr="00DC39C6" w:rsidRDefault="00FB03BE">
      <w:pPr>
        <w:rPr>
          <w:sz w:val="24"/>
          <w:szCs w:val="24"/>
        </w:rPr>
      </w:pPr>
      <w:r>
        <w:rPr>
          <w:i/>
          <w:sz w:val="24"/>
        </w:rPr>
        <w:t>KSB-Stand: ISH 2019, Frankfurt, Halle 9.0, Stand A58</w:t>
      </w:r>
    </w:p>
    <w:sectPr w:rsidR="00FB03BE" w:rsidRPr="00DC39C6" w:rsidSect="001341F0">
      <w:headerReference w:type="default" r:id="rId11"/>
      <w:pgSz w:w="11906" w:h="16838" w:code="9"/>
      <w:pgMar w:top="1418" w:right="1274" w:bottom="1134" w:left="1843" w:header="426"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CD774C" w14:textId="77777777" w:rsidR="00565E14" w:rsidRDefault="00565E14">
      <w:r>
        <w:separator/>
      </w:r>
    </w:p>
  </w:endnote>
  <w:endnote w:type="continuationSeparator" w:id="0">
    <w:p w14:paraId="0D3836A3" w14:textId="77777777" w:rsidR="00565E14" w:rsidRDefault="00565E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WWYMV+FrutigerLTPro-Roman">
    <w:altName w:val="Frutiger LT Pr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693986" w14:textId="77777777" w:rsidR="00565E14" w:rsidRDefault="00565E14">
      <w:r>
        <w:separator/>
      </w:r>
    </w:p>
  </w:footnote>
  <w:footnote w:type="continuationSeparator" w:id="0">
    <w:p w14:paraId="0DC70CD5" w14:textId="77777777" w:rsidR="00565E14" w:rsidRDefault="00565E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B30BD" w14:textId="0CEF5281" w:rsidR="00177C64" w:rsidRPr="003C5BD2" w:rsidRDefault="00177C64">
    <w:pPr>
      <w:pStyle w:val="Kopfzeile"/>
      <w:tabs>
        <w:tab w:val="clear" w:pos="4536"/>
        <w:tab w:val="center" w:pos="5245"/>
        <w:tab w:val="left" w:pos="6237"/>
      </w:tabs>
      <w:rPr>
        <w:sz w:val="16"/>
      </w:rPr>
    </w:pPr>
    <w:r w:rsidRPr="00C75591">
      <w:rPr>
        <w:sz w:val="10"/>
      </w:rPr>
      <w:fldChar w:fldCharType="begin"/>
    </w:r>
    <w:r w:rsidRPr="003C5BD2">
      <w:rPr>
        <w:sz w:val="10"/>
      </w:rPr>
      <w:instrText xml:space="preserve"> FILENAME  \* MERGEFORMAT </w:instrText>
    </w:r>
    <w:r w:rsidRPr="00C75591">
      <w:rPr>
        <w:sz w:val="10"/>
      </w:rPr>
      <w:fldChar w:fldCharType="separate"/>
    </w:r>
    <w:r w:rsidR="009471EF" w:rsidRPr="003C5BD2">
      <w:rPr>
        <w:noProof/>
        <w:sz w:val="10"/>
      </w:rPr>
      <w:t>D_KSB_Delta_Solo_00.doc</w:t>
    </w:r>
    <w:r w:rsidRPr="00C75591">
      <w:rPr>
        <w:sz w:val="10"/>
      </w:rPr>
      <w:fldChar w:fldCharType="end"/>
    </w:r>
    <w:r>
      <w:tab/>
    </w:r>
    <w:r>
      <w:rPr>
        <w:sz w:val="16"/>
      </w:rPr>
      <w:t xml:space="preserve">Seite </w:t>
    </w:r>
    <w:r w:rsidRPr="00C75591">
      <w:rPr>
        <w:rStyle w:val="Seitenzahl"/>
        <w:sz w:val="16"/>
      </w:rPr>
      <w:fldChar w:fldCharType="begin"/>
    </w:r>
    <w:r w:rsidRPr="003C5BD2">
      <w:rPr>
        <w:rStyle w:val="Seitenzahl"/>
        <w:sz w:val="16"/>
      </w:rPr>
      <w:instrText xml:space="preserve"> PAGE </w:instrText>
    </w:r>
    <w:r w:rsidRPr="00C75591">
      <w:rPr>
        <w:rStyle w:val="Seitenzahl"/>
        <w:sz w:val="16"/>
      </w:rPr>
      <w:fldChar w:fldCharType="separate"/>
    </w:r>
    <w:r w:rsidR="005A3E6C">
      <w:rPr>
        <w:rStyle w:val="Seitenzahl"/>
        <w:noProof/>
        <w:sz w:val="16"/>
      </w:rPr>
      <w:t>1</w:t>
    </w:r>
    <w:r w:rsidRPr="00C75591">
      <w:rPr>
        <w:rStyle w:val="Seitenzahl"/>
        <w:sz w:val="16"/>
      </w:rPr>
      <w:fldChar w:fldCharType="end"/>
    </w:r>
    <w:r>
      <w:rPr>
        <w:rStyle w:val="Seitenzahl"/>
        <w:sz w:val="16"/>
      </w:rPr>
      <w:t xml:space="preserve"> von 1</w:t>
    </w:r>
  </w:p>
  <w:p w14:paraId="11C9B3A8" w14:textId="2179DF89" w:rsidR="00177C64" w:rsidRPr="00C75591" w:rsidRDefault="00177C64">
    <w:pPr>
      <w:pStyle w:val="Kopfzeile"/>
      <w:tabs>
        <w:tab w:val="clear" w:pos="4536"/>
        <w:tab w:val="center" w:pos="5245"/>
      </w:tabs>
      <w:rPr>
        <w:sz w:val="16"/>
      </w:rPr>
    </w:pPr>
    <w:r>
      <w:tab/>
    </w:r>
    <w:r w:rsidRPr="00C75591">
      <w:rPr>
        <w:sz w:val="16"/>
      </w:rPr>
      <w:fldChar w:fldCharType="begin"/>
    </w:r>
    <w:r w:rsidRPr="00C75591">
      <w:rPr>
        <w:sz w:val="16"/>
      </w:rPr>
      <w:instrText>DATE \@ "d. MMMM yyyy"</w:instrText>
    </w:r>
    <w:r w:rsidRPr="00C75591">
      <w:rPr>
        <w:sz w:val="16"/>
      </w:rPr>
      <w:fldChar w:fldCharType="separate"/>
    </w:r>
    <w:r w:rsidR="005A3E6C">
      <w:rPr>
        <w:noProof/>
        <w:sz w:val="16"/>
      </w:rPr>
      <w:t>8. März 2021</w:t>
    </w:r>
    <w:r w:rsidRPr="00C75591">
      <w:rPr>
        <w:sz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5A16DF0"/>
    <w:multiLevelType w:val="hybridMultilevel"/>
    <w:tmpl w:val="E50F6C3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BE032CE"/>
    <w:multiLevelType w:val="hybridMultilevel"/>
    <w:tmpl w:val="0AC6DB76"/>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5351A79"/>
    <w:multiLevelType w:val="hybridMultilevel"/>
    <w:tmpl w:val="78AC093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7864E372"/>
    <w:multiLevelType w:val="hybridMultilevel"/>
    <w:tmpl w:val="6B3887A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28E0D46-37AD-45A2-A8D7-E3F7A6CEE5FB}"/>
    <w:docVar w:name="dgnword-eventsink" w:val="409071216"/>
  </w:docVars>
  <w:rsids>
    <w:rsidRoot w:val="0036363A"/>
    <w:rsid w:val="0001478F"/>
    <w:rsid w:val="000802C4"/>
    <w:rsid w:val="000D6815"/>
    <w:rsid w:val="001341F0"/>
    <w:rsid w:val="001624E5"/>
    <w:rsid w:val="00177C64"/>
    <w:rsid w:val="001F1850"/>
    <w:rsid w:val="002044FD"/>
    <w:rsid w:val="002173D6"/>
    <w:rsid w:val="00232AB7"/>
    <w:rsid w:val="00254804"/>
    <w:rsid w:val="002F6527"/>
    <w:rsid w:val="00307E0C"/>
    <w:rsid w:val="0032339F"/>
    <w:rsid w:val="0036363A"/>
    <w:rsid w:val="003C5BD2"/>
    <w:rsid w:val="00407218"/>
    <w:rsid w:val="00441918"/>
    <w:rsid w:val="00466C3A"/>
    <w:rsid w:val="004C23A9"/>
    <w:rsid w:val="00565E14"/>
    <w:rsid w:val="005A3E6C"/>
    <w:rsid w:val="00605B6C"/>
    <w:rsid w:val="00640698"/>
    <w:rsid w:val="006559DA"/>
    <w:rsid w:val="00660CE0"/>
    <w:rsid w:val="00703165"/>
    <w:rsid w:val="00772C2E"/>
    <w:rsid w:val="00781AED"/>
    <w:rsid w:val="007C3B5E"/>
    <w:rsid w:val="008528D4"/>
    <w:rsid w:val="00880DCF"/>
    <w:rsid w:val="008D2391"/>
    <w:rsid w:val="00927CA9"/>
    <w:rsid w:val="009471EF"/>
    <w:rsid w:val="00AA3EF3"/>
    <w:rsid w:val="00B75994"/>
    <w:rsid w:val="00BA3FE6"/>
    <w:rsid w:val="00C75591"/>
    <w:rsid w:val="00D07748"/>
    <w:rsid w:val="00D54F85"/>
    <w:rsid w:val="00D76A47"/>
    <w:rsid w:val="00D85742"/>
    <w:rsid w:val="00DA3D2F"/>
    <w:rsid w:val="00DC0DFF"/>
    <w:rsid w:val="00DC39C6"/>
    <w:rsid w:val="00DE67CF"/>
    <w:rsid w:val="00E4568B"/>
    <w:rsid w:val="00F12AAE"/>
    <w:rsid w:val="00F30E2A"/>
    <w:rsid w:val="00F61371"/>
    <w:rsid w:val="00F85F28"/>
    <w:rsid w:val="00F95C32"/>
    <w:rsid w:val="00FB03BE"/>
    <w:rsid w:val="00FB798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6DFCBA7"/>
  <w15:docId w15:val="{EEAA7A2C-AC45-4841-B9B6-A81A20442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de-DE"/>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40" w:lineRule="atLeast"/>
      <w:jc w:val="both"/>
    </w:pPr>
    <w:rPr>
      <w:rFonts w:ascii="Arial" w:hAnsi="Arial"/>
      <w:sz w:val="22"/>
    </w:rPr>
  </w:style>
  <w:style w:type="paragraph" w:styleId="berschrift1">
    <w:name w:val="heading 1"/>
    <w:basedOn w:val="Standard"/>
    <w:next w:val="Standard"/>
    <w:qFormat/>
    <w:pPr>
      <w:keepNext/>
      <w:outlineLvl w:val="0"/>
    </w:pPr>
    <w:rPr>
      <w:b/>
    </w:rPr>
  </w:style>
  <w:style w:type="paragraph" w:styleId="berschrift2">
    <w:name w:val="heading 2"/>
    <w:basedOn w:val="Standard"/>
    <w:next w:val="Standard"/>
    <w:qFormat/>
    <w:pPr>
      <w:keepNext/>
      <w:spacing w:before="240" w:after="60"/>
      <w:outlineLvl w:val="1"/>
    </w:pPr>
    <w:rPr>
      <w:b/>
      <w:i/>
      <w:sz w:val="24"/>
    </w:rPr>
  </w:style>
  <w:style w:type="paragraph" w:styleId="berschrift4">
    <w:name w:val="heading 4"/>
    <w:basedOn w:val="Standard"/>
    <w:next w:val="Standard"/>
    <w:qFormat/>
    <w:pPr>
      <w:keepNext/>
      <w:outlineLvl w:val="3"/>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Seitenzahl">
    <w:name w:val="page number"/>
    <w:basedOn w:val="Absatz-Standardschriftart"/>
  </w:style>
  <w:style w:type="paragraph" w:styleId="Textkrper">
    <w:name w:val="Body Text"/>
    <w:basedOn w:val="Standard"/>
  </w:style>
  <w:style w:type="paragraph" w:styleId="Textkrper2">
    <w:name w:val="Body Text 2"/>
    <w:basedOn w:val="Standard"/>
    <w:rPr>
      <w:b/>
      <w:sz w:val="28"/>
    </w:rPr>
  </w:style>
  <w:style w:type="paragraph" w:styleId="Textkrper3">
    <w:name w:val="Body Text 3"/>
    <w:basedOn w:val="Standard"/>
    <w:rPr>
      <w:sz w:val="32"/>
    </w:rPr>
  </w:style>
  <w:style w:type="paragraph" w:customStyle="1" w:styleId="Default">
    <w:name w:val="Default"/>
    <w:rsid w:val="00927CA9"/>
    <w:pPr>
      <w:autoSpaceDE w:val="0"/>
      <w:autoSpaceDN w:val="0"/>
      <w:adjustRightInd w:val="0"/>
    </w:pPr>
    <w:rPr>
      <w:rFonts w:ascii="AWWYMV+FrutigerLTPro-Roman" w:hAnsi="AWWYMV+FrutigerLTPro-Roman" w:cs="AWWYMV+FrutigerLTPro-Roman"/>
      <w:color w:val="000000"/>
      <w:sz w:val="24"/>
      <w:szCs w:val="24"/>
    </w:rPr>
  </w:style>
  <w:style w:type="paragraph" w:styleId="Sprechblasentext">
    <w:name w:val="Balloon Text"/>
    <w:basedOn w:val="Standard"/>
    <w:link w:val="SprechblasentextZchn"/>
    <w:rsid w:val="009471EF"/>
    <w:pPr>
      <w:spacing w:line="240" w:lineRule="auto"/>
    </w:pPr>
    <w:rPr>
      <w:rFonts w:ascii="Segoe UI" w:hAnsi="Segoe UI" w:cs="Segoe UI"/>
      <w:sz w:val="18"/>
      <w:szCs w:val="18"/>
    </w:rPr>
  </w:style>
  <w:style w:type="character" w:customStyle="1" w:styleId="SprechblasentextZchn">
    <w:name w:val="Sprechblasentext Zchn"/>
    <w:link w:val="Sprechblasentext"/>
    <w:rsid w:val="009471EF"/>
    <w:rPr>
      <w:rFonts w:ascii="Segoe UI" w:hAnsi="Segoe UI" w:cs="Segoe UI"/>
      <w:sz w:val="18"/>
      <w:szCs w:val="18"/>
    </w:rPr>
  </w:style>
  <w:style w:type="paragraph" w:styleId="Kommentartext">
    <w:name w:val="annotation text"/>
    <w:link w:val="KommentartextZchn"/>
    <w:uiPriority w:val="99"/>
    <w:semiHidden/>
    <w:unhideWhenUsed/>
  </w:style>
  <w:style w:type="character" w:styleId="Kommentarzeichen">
    <w:name w:val="annotation reference"/>
    <w:uiPriority w:val="99"/>
    <w:semiHidden/>
    <w:unhideWhenUsed/>
    <w:rPr>
      <w:sz w:val="16"/>
      <w:szCs w:val="16"/>
    </w:rPr>
  </w:style>
  <w:style w:type="paragraph" w:styleId="Kommentarthema">
    <w:name w:val="annotation subject"/>
    <w:basedOn w:val="Kommentartext"/>
    <w:next w:val="Kommentartext"/>
    <w:link w:val="KommentarthemaZchn"/>
    <w:rsid w:val="00C75591"/>
    <w:pPr>
      <w:jc w:val="both"/>
    </w:pPr>
    <w:rPr>
      <w:rFonts w:ascii="Arial" w:hAnsi="Arial"/>
      <w:b/>
      <w:bCs/>
    </w:rPr>
  </w:style>
  <w:style w:type="character" w:customStyle="1" w:styleId="KommentartextZchn">
    <w:name w:val="Kommentartext Zchn"/>
    <w:basedOn w:val="Absatz-Standardschriftart"/>
    <w:link w:val="Kommentartext"/>
    <w:uiPriority w:val="99"/>
    <w:semiHidden/>
    <w:rsid w:val="00C75591"/>
  </w:style>
  <w:style w:type="character" w:customStyle="1" w:styleId="KommentarthemaZchn">
    <w:name w:val="Kommentarthema Zchn"/>
    <w:basedOn w:val="KommentartextZchn"/>
    <w:link w:val="Kommentarthema"/>
    <w:rsid w:val="00C7559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477B77-0358-4CD5-87A3-081E52E0B4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D550AE4-344C-4708-A5A3-71655E258244}">
  <ds:schemaRefs>
    <ds:schemaRef ds:uri="http://schemas.microsoft.com/sharepoint/v3/contenttype/forms"/>
  </ds:schemaRefs>
</ds:datastoreItem>
</file>

<file path=customXml/itemProps3.xml><?xml version="1.0" encoding="utf-8"?>
<ds:datastoreItem xmlns:ds="http://schemas.openxmlformats.org/officeDocument/2006/customXml" ds:itemID="{8C395210-D85C-48BF-844C-5BD6E69B7025}">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s>
</ds:datastoreItem>
</file>

<file path=customXml/itemProps4.xml><?xml version="1.0" encoding="utf-8"?>
<ds:datastoreItem xmlns:ds="http://schemas.openxmlformats.org/officeDocument/2006/customXml" ds:itemID="{0CB6E342-73B5-40FC-B964-E062B3A31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310</Words>
  <Characters>2219</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creator>Christoph P. Pauly</dc:creator>
  <cp:lastModifiedBy>Steffel, Lena</cp:lastModifiedBy>
  <cp:revision>2</cp:revision>
  <cp:lastPrinted>2018-10-12T07:54:00Z</cp:lastPrinted>
  <dcterms:created xsi:type="dcterms:W3CDTF">2021-03-08T07:30:00Z</dcterms:created>
  <dcterms:modified xsi:type="dcterms:W3CDTF">2021-03-08T07:30:00Z</dcterms:modified>
</cp:coreProperties>
</file>