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666B" w:rsidRDefault="004E666B" w:rsidP="004E666B">
      <w:pPr>
        <w:rPr>
          <w:rFonts w:ascii="Arial" w:hAnsi="Arial" w:cs="Arial"/>
          <w:sz w:val="32"/>
          <w:szCs w:val="32"/>
        </w:rPr>
      </w:pPr>
      <w:bookmarkStart w:id="0" w:name="_GoBack"/>
      <w:bookmarkEnd w:id="0"/>
      <w:r>
        <w:rPr>
          <w:rFonts w:ascii="Arial" w:hAnsi="Arial" w:cs="Arial"/>
          <w:sz w:val="32"/>
          <w:szCs w:val="32"/>
        </w:rPr>
        <w:t>Zwischenmitteilung zum 31.03.2017</w:t>
      </w:r>
    </w:p>
    <w:p w:rsidR="004E666B" w:rsidRDefault="004E666B" w:rsidP="004E666B">
      <w:pPr>
        <w:rPr>
          <w:rFonts w:ascii="Arial" w:hAnsi="Arial" w:cs="Arial"/>
          <w:sz w:val="32"/>
          <w:szCs w:val="32"/>
        </w:rPr>
      </w:pPr>
    </w:p>
    <w:p w:rsidR="004E666B" w:rsidRPr="00CE254A" w:rsidRDefault="004E666B" w:rsidP="004E666B">
      <w:pPr>
        <w:rPr>
          <w:rFonts w:ascii="Arial" w:hAnsi="Arial" w:cs="Arial"/>
          <w:b/>
          <w:sz w:val="32"/>
          <w:szCs w:val="32"/>
        </w:rPr>
      </w:pPr>
      <w:bookmarkStart w:id="1" w:name="OLE_LINK2"/>
      <w:bookmarkStart w:id="2" w:name="OLE_LINK1"/>
    </w:p>
    <w:p w:rsidR="004E666B" w:rsidRPr="00CE254A" w:rsidRDefault="004E666B" w:rsidP="004E666B">
      <w:pPr>
        <w:rPr>
          <w:rFonts w:ascii="Arial" w:hAnsi="Arial" w:cs="Arial"/>
          <w:b/>
          <w:sz w:val="32"/>
          <w:szCs w:val="32"/>
        </w:rPr>
      </w:pPr>
      <w:r w:rsidRPr="00CE254A">
        <w:rPr>
          <w:rFonts w:ascii="Arial" w:hAnsi="Arial" w:cs="Arial"/>
          <w:b/>
          <w:sz w:val="32"/>
          <w:szCs w:val="32"/>
        </w:rPr>
        <w:t>KSB Konzern</w:t>
      </w:r>
      <w:r w:rsidR="00AD6070" w:rsidRPr="00CE254A">
        <w:rPr>
          <w:rFonts w:ascii="Arial" w:hAnsi="Arial" w:cs="Arial"/>
          <w:b/>
          <w:sz w:val="32"/>
          <w:szCs w:val="32"/>
        </w:rPr>
        <w:t xml:space="preserve"> wieder auf Wachstumskurs</w:t>
      </w:r>
    </w:p>
    <w:p w:rsidR="004E666B" w:rsidRPr="00CE254A" w:rsidRDefault="004E666B" w:rsidP="004E666B">
      <w:pPr>
        <w:rPr>
          <w:rFonts w:ascii="Arial" w:hAnsi="Arial" w:cs="Arial"/>
          <w:b/>
          <w:sz w:val="32"/>
          <w:szCs w:val="32"/>
        </w:rPr>
      </w:pPr>
    </w:p>
    <w:p w:rsidR="004E666B" w:rsidRPr="00CE254A" w:rsidRDefault="001F54CB" w:rsidP="004E666B">
      <w:pPr>
        <w:spacing w:line="360" w:lineRule="auto"/>
        <w:ind w:right="-108"/>
        <w:jc w:val="both"/>
        <w:rPr>
          <w:rFonts w:ascii="Arial" w:hAnsi="Arial" w:cs="Arial"/>
        </w:rPr>
      </w:pPr>
      <w:r w:rsidRPr="00CE254A">
        <w:rPr>
          <w:rFonts w:ascii="Arial" w:hAnsi="Arial" w:cs="Arial"/>
        </w:rPr>
        <w:t xml:space="preserve">Im laufenden Jahr </w:t>
      </w:r>
      <w:r w:rsidR="00844BB9">
        <w:rPr>
          <w:rFonts w:ascii="Arial" w:hAnsi="Arial" w:cs="Arial"/>
        </w:rPr>
        <w:t xml:space="preserve">verstärkt </w:t>
      </w:r>
      <w:r w:rsidRPr="00CE254A">
        <w:rPr>
          <w:rFonts w:ascii="Arial" w:hAnsi="Arial" w:cs="Arial"/>
        </w:rPr>
        <w:t xml:space="preserve">KSB </w:t>
      </w:r>
      <w:r w:rsidR="00844BB9">
        <w:rPr>
          <w:rFonts w:ascii="Arial" w:hAnsi="Arial" w:cs="Arial"/>
        </w:rPr>
        <w:t>seine globalen Aktivitäten</w:t>
      </w:r>
      <w:r w:rsidRPr="00CE254A">
        <w:rPr>
          <w:rFonts w:ascii="Arial" w:hAnsi="Arial" w:cs="Arial"/>
        </w:rPr>
        <w:t xml:space="preserve">, </w:t>
      </w:r>
      <w:r w:rsidR="00844BB9">
        <w:rPr>
          <w:rFonts w:ascii="Arial" w:hAnsi="Arial" w:cs="Arial"/>
        </w:rPr>
        <w:t xml:space="preserve">um neue </w:t>
      </w:r>
      <w:r w:rsidRPr="00CE254A">
        <w:rPr>
          <w:rFonts w:ascii="Arial" w:hAnsi="Arial" w:cs="Arial"/>
        </w:rPr>
        <w:t xml:space="preserve">Chancen in den </w:t>
      </w:r>
      <w:r w:rsidR="00204709" w:rsidRPr="00CE254A">
        <w:rPr>
          <w:rFonts w:ascii="Arial" w:hAnsi="Arial" w:cs="Arial"/>
        </w:rPr>
        <w:t>strategisch relevanten Marktfeldern</w:t>
      </w:r>
      <w:r w:rsidR="00AD6070" w:rsidRPr="00CE254A">
        <w:rPr>
          <w:rFonts w:ascii="Arial" w:hAnsi="Arial" w:cs="Arial"/>
        </w:rPr>
        <w:t xml:space="preserve"> </w:t>
      </w:r>
      <w:r w:rsidR="00651A8E" w:rsidRPr="00CE254A">
        <w:rPr>
          <w:rFonts w:ascii="Arial" w:hAnsi="Arial" w:cs="Arial"/>
        </w:rPr>
        <w:t>Industrie</w:t>
      </w:r>
      <w:r w:rsidR="00204709" w:rsidRPr="00CE254A">
        <w:rPr>
          <w:rFonts w:ascii="Arial" w:hAnsi="Arial" w:cs="Arial"/>
        </w:rPr>
        <w:t xml:space="preserve"> und Wasser / Abwasser sowie im </w:t>
      </w:r>
      <w:r w:rsidR="00651A8E" w:rsidRPr="00CE254A">
        <w:rPr>
          <w:rFonts w:ascii="Arial" w:hAnsi="Arial" w:cs="Arial"/>
        </w:rPr>
        <w:t xml:space="preserve">Service zu </w:t>
      </w:r>
      <w:r w:rsidRPr="00CE254A">
        <w:rPr>
          <w:rFonts w:ascii="Arial" w:hAnsi="Arial" w:cs="Arial"/>
        </w:rPr>
        <w:t>er</w:t>
      </w:r>
      <w:r w:rsidR="00651A8E" w:rsidRPr="00CE254A">
        <w:rPr>
          <w:rFonts w:ascii="Arial" w:hAnsi="Arial" w:cs="Arial"/>
        </w:rPr>
        <w:t>schließen</w:t>
      </w:r>
      <w:r w:rsidR="00AD6070" w:rsidRPr="00CE254A">
        <w:rPr>
          <w:rFonts w:ascii="Arial" w:hAnsi="Arial" w:cs="Arial"/>
        </w:rPr>
        <w:t xml:space="preserve">. </w:t>
      </w:r>
      <w:r w:rsidR="00651A8E" w:rsidRPr="00CE254A">
        <w:rPr>
          <w:rFonts w:ascii="Arial" w:hAnsi="Arial" w:cs="Arial"/>
        </w:rPr>
        <w:t xml:space="preserve">In diesen </w:t>
      </w:r>
      <w:r w:rsidR="00204709" w:rsidRPr="00CE254A">
        <w:rPr>
          <w:rFonts w:ascii="Arial" w:hAnsi="Arial" w:cs="Arial"/>
        </w:rPr>
        <w:t xml:space="preserve">drei Bereichen </w:t>
      </w:r>
      <w:r w:rsidR="00651A8E" w:rsidRPr="00CE254A">
        <w:rPr>
          <w:rFonts w:ascii="Arial" w:hAnsi="Arial" w:cs="Arial"/>
        </w:rPr>
        <w:t xml:space="preserve">zeichnet sich eine stabile bis wachsende Nachfrage ab, </w:t>
      </w:r>
      <w:r w:rsidR="00204709" w:rsidRPr="00CE254A">
        <w:rPr>
          <w:rFonts w:ascii="Arial" w:hAnsi="Arial" w:cs="Arial"/>
        </w:rPr>
        <w:t>wenngleich</w:t>
      </w:r>
      <w:r w:rsidR="00651A8E" w:rsidRPr="00CE254A">
        <w:rPr>
          <w:rFonts w:ascii="Arial" w:hAnsi="Arial" w:cs="Arial"/>
        </w:rPr>
        <w:t xml:space="preserve"> sich die Erholung des Öl- und Gasmarktes noch verzögert. </w:t>
      </w:r>
      <w:r w:rsidRPr="00CE254A">
        <w:rPr>
          <w:rFonts w:ascii="Arial" w:hAnsi="Arial" w:cs="Arial"/>
        </w:rPr>
        <w:t xml:space="preserve">In </w:t>
      </w:r>
      <w:r w:rsidR="004E666B" w:rsidRPr="00CE254A">
        <w:rPr>
          <w:rFonts w:ascii="Arial" w:hAnsi="Arial" w:cs="Arial"/>
        </w:rPr>
        <w:t xml:space="preserve">der </w:t>
      </w:r>
      <w:r w:rsidR="00651A8E" w:rsidRPr="00CE254A">
        <w:rPr>
          <w:rFonts w:ascii="Arial" w:hAnsi="Arial" w:cs="Arial"/>
        </w:rPr>
        <w:t xml:space="preserve">ölverarbeitenden </w:t>
      </w:r>
      <w:r w:rsidR="004E666B" w:rsidRPr="00CE254A">
        <w:rPr>
          <w:rFonts w:ascii="Arial" w:hAnsi="Arial" w:cs="Arial"/>
        </w:rPr>
        <w:t xml:space="preserve">Industrie im Iran </w:t>
      </w:r>
      <w:r w:rsidR="00FE4AA7">
        <w:rPr>
          <w:rFonts w:ascii="Arial" w:hAnsi="Arial" w:cs="Arial"/>
        </w:rPr>
        <w:t>haben</w:t>
      </w:r>
      <w:r w:rsidR="005B3F9A">
        <w:rPr>
          <w:rFonts w:ascii="Arial" w:hAnsi="Arial" w:cs="Arial"/>
        </w:rPr>
        <w:t xml:space="preserve"> </w:t>
      </w:r>
      <w:r w:rsidRPr="00CE254A">
        <w:rPr>
          <w:rFonts w:ascii="Arial" w:hAnsi="Arial" w:cs="Arial"/>
        </w:rPr>
        <w:t xml:space="preserve">sich </w:t>
      </w:r>
      <w:r w:rsidR="005B3F9A">
        <w:rPr>
          <w:rFonts w:ascii="Arial" w:hAnsi="Arial" w:cs="Arial"/>
        </w:rPr>
        <w:t>dagegen</w:t>
      </w:r>
      <w:r w:rsidRPr="00CE254A">
        <w:rPr>
          <w:rFonts w:ascii="Arial" w:hAnsi="Arial" w:cs="Arial"/>
        </w:rPr>
        <w:t xml:space="preserve"> </w:t>
      </w:r>
      <w:r w:rsidR="00F24552">
        <w:rPr>
          <w:rFonts w:ascii="Arial" w:hAnsi="Arial" w:cs="Arial"/>
        </w:rPr>
        <w:t>nach</w:t>
      </w:r>
      <w:r w:rsidR="00F24552" w:rsidRPr="00CE254A">
        <w:rPr>
          <w:rFonts w:ascii="Arial" w:hAnsi="Arial" w:cs="Arial"/>
        </w:rPr>
        <w:t xml:space="preserve"> </w:t>
      </w:r>
      <w:r w:rsidR="004E666B" w:rsidRPr="00CE254A">
        <w:rPr>
          <w:rFonts w:ascii="Arial" w:hAnsi="Arial" w:cs="Arial"/>
        </w:rPr>
        <w:t>Ende der Embargo</w:t>
      </w:r>
      <w:r w:rsidR="00E839B7">
        <w:rPr>
          <w:rFonts w:ascii="Arial" w:hAnsi="Arial" w:cs="Arial"/>
        </w:rPr>
        <w:softHyphen/>
      </w:r>
      <w:r w:rsidR="004E666B" w:rsidRPr="00CE254A">
        <w:rPr>
          <w:rFonts w:ascii="Arial" w:hAnsi="Arial" w:cs="Arial"/>
        </w:rPr>
        <w:t xml:space="preserve">maßnahmen </w:t>
      </w:r>
      <w:r w:rsidR="005B3F9A">
        <w:rPr>
          <w:rFonts w:ascii="Arial" w:hAnsi="Arial" w:cs="Arial"/>
        </w:rPr>
        <w:t>wieder</w:t>
      </w:r>
      <w:r w:rsidR="005B3F9A" w:rsidRPr="00CE254A">
        <w:rPr>
          <w:rFonts w:ascii="Arial" w:hAnsi="Arial" w:cs="Arial"/>
        </w:rPr>
        <w:t xml:space="preserve"> </w:t>
      </w:r>
      <w:r w:rsidR="004E666B" w:rsidRPr="00CE254A">
        <w:rPr>
          <w:rFonts w:ascii="Arial" w:hAnsi="Arial" w:cs="Arial"/>
        </w:rPr>
        <w:t>gute Au</w:t>
      </w:r>
      <w:r w:rsidRPr="00CE254A">
        <w:rPr>
          <w:rFonts w:ascii="Arial" w:hAnsi="Arial" w:cs="Arial"/>
        </w:rPr>
        <w:t>ftragsmöglichkeiten</w:t>
      </w:r>
      <w:r w:rsidR="00FE4AA7">
        <w:rPr>
          <w:rFonts w:ascii="Arial" w:hAnsi="Arial" w:cs="Arial"/>
        </w:rPr>
        <w:t xml:space="preserve"> eröffnet</w:t>
      </w:r>
      <w:r w:rsidRPr="00CE254A">
        <w:rPr>
          <w:rFonts w:ascii="Arial" w:hAnsi="Arial" w:cs="Arial"/>
        </w:rPr>
        <w:t>. Auch i</w:t>
      </w:r>
      <w:r w:rsidR="004E666B" w:rsidRPr="00CE254A">
        <w:rPr>
          <w:rFonts w:ascii="Arial" w:hAnsi="Arial" w:cs="Arial"/>
        </w:rPr>
        <w:t>m Bergbau und in der Energiewirtschaft tätigten einzelne Unternehmen</w:t>
      </w:r>
      <w:r w:rsidRPr="00CE254A">
        <w:rPr>
          <w:rFonts w:ascii="Arial" w:hAnsi="Arial" w:cs="Arial"/>
        </w:rPr>
        <w:t xml:space="preserve"> im ersten Quartal </w:t>
      </w:r>
      <w:r w:rsidR="004E666B" w:rsidRPr="00CE254A">
        <w:rPr>
          <w:rFonts w:ascii="Arial" w:hAnsi="Arial" w:cs="Arial"/>
        </w:rPr>
        <w:t>zum Teil länger verschobene Investitionen, die Bestellungen von Pumpen und Armaturen zur Folge hatten.</w:t>
      </w:r>
    </w:p>
    <w:p w:rsidR="004E666B" w:rsidRPr="00CE254A" w:rsidRDefault="004E666B" w:rsidP="004E666B">
      <w:pPr>
        <w:spacing w:line="360" w:lineRule="auto"/>
        <w:ind w:right="-108"/>
        <w:jc w:val="both"/>
        <w:rPr>
          <w:rFonts w:ascii="Arial" w:hAnsi="Arial" w:cs="Arial"/>
        </w:rPr>
      </w:pPr>
    </w:p>
    <w:tbl>
      <w:tblPr>
        <w:tblW w:w="9075" w:type="dxa"/>
        <w:tblInd w:w="7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71" w:type="dxa"/>
        </w:tblCellMar>
        <w:tblLook w:val="04A0" w:firstRow="1" w:lastRow="0" w:firstColumn="1" w:lastColumn="0" w:noHBand="0" w:noVBand="1"/>
      </w:tblPr>
      <w:tblGrid>
        <w:gridCol w:w="2127"/>
        <w:gridCol w:w="850"/>
        <w:gridCol w:w="1560"/>
        <w:gridCol w:w="1702"/>
        <w:gridCol w:w="2836"/>
      </w:tblGrid>
      <w:tr w:rsidR="00CE254A" w:rsidRPr="00CE254A" w:rsidTr="004E666B">
        <w:tc>
          <w:tcPr>
            <w:tcW w:w="2127" w:type="dxa"/>
            <w:tcBorders>
              <w:top w:val="single" w:sz="12" w:space="0" w:color="auto"/>
              <w:left w:val="single" w:sz="12" w:space="0" w:color="auto"/>
              <w:bottom w:val="single" w:sz="6" w:space="0" w:color="auto"/>
              <w:right w:val="single" w:sz="6" w:space="0" w:color="auto"/>
            </w:tcBorders>
            <w:hideMark/>
          </w:tcPr>
          <w:bookmarkEnd w:id="1"/>
          <w:bookmarkEnd w:id="2"/>
          <w:p w:rsidR="004E666B" w:rsidRPr="00CE254A" w:rsidRDefault="004E666B">
            <w:pPr>
              <w:pStyle w:val="berschrift3"/>
              <w:rPr>
                <w:sz w:val="24"/>
                <w:lang w:val="en-US" w:eastAsia="en-US"/>
              </w:rPr>
            </w:pPr>
            <w:r w:rsidRPr="00CE254A">
              <w:rPr>
                <w:sz w:val="24"/>
                <w:lang w:val="en-US" w:eastAsia="en-US"/>
              </w:rPr>
              <w:t>KSB Konzern</w:t>
            </w:r>
          </w:p>
        </w:tc>
        <w:tc>
          <w:tcPr>
            <w:tcW w:w="850" w:type="dxa"/>
            <w:tcBorders>
              <w:top w:val="single" w:sz="12" w:space="0" w:color="auto"/>
              <w:left w:val="single" w:sz="6" w:space="0" w:color="auto"/>
              <w:bottom w:val="single" w:sz="6" w:space="0" w:color="auto"/>
              <w:right w:val="single" w:sz="6" w:space="0" w:color="auto"/>
            </w:tcBorders>
          </w:tcPr>
          <w:p w:rsidR="004E666B" w:rsidRPr="00CE254A" w:rsidRDefault="004E666B">
            <w:pPr>
              <w:tabs>
                <w:tab w:val="left" w:pos="1134"/>
              </w:tabs>
              <w:spacing w:line="360" w:lineRule="atLeast"/>
              <w:rPr>
                <w:rFonts w:ascii="Arial" w:hAnsi="Arial" w:cs="Arial"/>
                <w:b/>
                <w:lang w:val="en-US" w:eastAsia="en-US"/>
              </w:rPr>
            </w:pPr>
          </w:p>
        </w:tc>
        <w:tc>
          <w:tcPr>
            <w:tcW w:w="1559" w:type="dxa"/>
            <w:tcBorders>
              <w:top w:val="single" w:sz="12" w:space="0" w:color="auto"/>
              <w:left w:val="single" w:sz="6" w:space="0" w:color="auto"/>
              <w:bottom w:val="single" w:sz="6" w:space="0" w:color="auto"/>
              <w:right w:val="single" w:sz="6" w:space="0" w:color="auto"/>
            </w:tcBorders>
            <w:hideMark/>
          </w:tcPr>
          <w:p w:rsidR="004E666B" w:rsidRPr="00CE254A" w:rsidRDefault="004E666B">
            <w:pPr>
              <w:tabs>
                <w:tab w:val="left" w:pos="1134"/>
              </w:tabs>
              <w:spacing w:line="360" w:lineRule="atLeast"/>
              <w:rPr>
                <w:rFonts w:ascii="Arial" w:hAnsi="Arial" w:cs="Arial"/>
                <w:lang w:val="en-US" w:eastAsia="en-US"/>
              </w:rPr>
            </w:pPr>
            <w:r w:rsidRPr="00CE254A">
              <w:rPr>
                <w:rFonts w:ascii="Arial" w:hAnsi="Arial" w:cs="Arial"/>
                <w:lang w:val="en-US" w:eastAsia="en-US"/>
              </w:rPr>
              <w:t xml:space="preserve">  01-03/2017</w:t>
            </w:r>
          </w:p>
        </w:tc>
        <w:tc>
          <w:tcPr>
            <w:tcW w:w="1701" w:type="dxa"/>
            <w:tcBorders>
              <w:top w:val="single" w:sz="12" w:space="0" w:color="auto"/>
              <w:left w:val="single" w:sz="6" w:space="0" w:color="auto"/>
              <w:bottom w:val="single" w:sz="6" w:space="0" w:color="auto"/>
              <w:right w:val="single" w:sz="6" w:space="0" w:color="auto"/>
            </w:tcBorders>
            <w:hideMark/>
          </w:tcPr>
          <w:p w:rsidR="004E666B" w:rsidRPr="00CE254A" w:rsidRDefault="004E666B">
            <w:pPr>
              <w:tabs>
                <w:tab w:val="left" w:pos="992"/>
              </w:tabs>
              <w:spacing w:line="360" w:lineRule="atLeast"/>
              <w:rPr>
                <w:rFonts w:ascii="Arial" w:hAnsi="Arial" w:cs="Arial"/>
                <w:lang w:val="en-US" w:eastAsia="en-US"/>
              </w:rPr>
            </w:pPr>
            <w:r w:rsidRPr="00CE254A">
              <w:rPr>
                <w:rFonts w:ascii="Arial" w:hAnsi="Arial" w:cs="Arial"/>
                <w:lang w:val="en-US" w:eastAsia="en-US"/>
              </w:rPr>
              <w:t xml:space="preserve">  01-03/2016</w:t>
            </w:r>
          </w:p>
        </w:tc>
        <w:tc>
          <w:tcPr>
            <w:tcW w:w="2835" w:type="dxa"/>
            <w:tcBorders>
              <w:top w:val="single" w:sz="12" w:space="0" w:color="auto"/>
              <w:left w:val="single" w:sz="6" w:space="0" w:color="auto"/>
              <w:bottom w:val="single" w:sz="6" w:space="0" w:color="auto"/>
              <w:right w:val="single" w:sz="12" w:space="0" w:color="auto"/>
            </w:tcBorders>
            <w:hideMark/>
          </w:tcPr>
          <w:p w:rsidR="004E666B" w:rsidRPr="0072605E" w:rsidRDefault="004E666B">
            <w:pPr>
              <w:pStyle w:val="Kopfzeile"/>
              <w:tabs>
                <w:tab w:val="left" w:pos="1369"/>
              </w:tabs>
              <w:spacing w:line="360" w:lineRule="atLeast"/>
              <w:ind w:right="1009"/>
              <w:rPr>
                <w:rFonts w:cs="Arial"/>
                <w:sz w:val="24"/>
                <w:lang w:val="en-US" w:eastAsia="en-US"/>
              </w:rPr>
            </w:pPr>
            <w:r w:rsidRPr="00CE254A">
              <w:rPr>
                <w:rFonts w:cs="Arial"/>
                <w:spacing w:val="-12"/>
                <w:sz w:val="24"/>
                <w:lang w:val="en-US" w:eastAsia="en-US"/>
              </w:rPr>
              <w:t xml:space="preserve">     </w:t>
            </w:r>
            <w:r w:rsidRPr="0072605E">
              <w:rPr>
                <w:rFonts w:cs="Arial"/>
                <w:sz w:val="24"/>
                <w:lang w:val="en-US" w:eastAsia="en-US"/>
              </w:rPr>
              <w:t>Veränderung</w:t>
            </w:r>
          </w:p>
        </w:tc>
      </w:tr>
      <w:tr w:rsidR="00CE254A" w:rsidRPr="00CE254A" w:rsidTr="004E666B">
        <w:tc>
          <w:tcPr>
            <w:tcW w:w="2127" w:type="dxa"/>
            <w:tcBorders>
              <w:top w:val="single" w:sz="6" w:space="0" w:color="auto"/>
              <w:left w:val="single" w:sz="12" w:space="0" w:color="auto"/>
              <w:bottom w:val="single" w:sz="6" w:space="0" w:color="auto"/>
              <w:right w:val="single" w:sz="6" w:space="0" w:color="auto"/>
            </w:tcBorders>
            <w:hideMark/>
          </w:tcPr>
          <w:p w:rsidR="004E666B" w:rsidRPr="00CE254A" w:rsidRDefault="004E666B">
            <w:pPr>
              <w:tabs>
                <w:tab w:val="left" w:pos="1134"/>
              </w:tabs>
              <w:spacing w:line="360" w:lineRule="atLeast"/>
              <w:rPr>
                <w:rFonts w:ascii="Arial" w:hAnsi="Arial" w:cs="Arial"/>
                <w:lang w:val="en-US" w:eastAsia="en-US"/>
              </w:rPr>
            </w:pPr>
            <w:r w:rsidRPr="00CE254A">
              <w:rPr>
                <w:rFonts w:ascii="Arial" w:hAnsi="Arial" w:cs="Arial"/>
                <w:lang w:val="en-US" w:eastAsia="en-US"/>
              </w:rPr>
              <w:t>Auftragseingang</w:t>
            </w:r>
          </w:p>
        </w:tc>
        <w:tc>
          <w:tcPr>
            <w:tcW w:w="850" w:type="dxa"/>
            <w:tcBorders>
              <w:top w:val="single" w:sz="6" w:space="0" w:color="auto"/>
              <w:left w:val="single" w:sz="6" w:space="0" w:color="auto"/>
              <w:bottom w:val="single" w:sz="6" w:space="0" w:color="auto"/>
              <w:right w:val="single" w:sz="6" w:space="0" w:color="auto"/>
            </w:tcBorders>
            <w:hideMark/>
          </w:tcPr>
          <w:p w:rsidR="004E666B" w:rsidRPr="00CE254A" w:rsidRDefault="004E666B">
            <w:pPr>
              <w:tabs>
                <w:tab w:val="left" w:pos="1134"/>
              </w:tabs>
              <w:spacing w:line="360" w:lineRule="atLeast"/>
              <w:rPr>
                <w:rFonts w:ascii="Arial" w:hAnsi="Arial" w:cs="Arial"/>
                <w:lang w:val="en-US" w:eastAsia="en-US"/>
              </w:rPr>
            </w:pPr>
            <w:r w:rsidRPr="00CE254A">
              <w:rPr>
                <w:rFonts w:ascii="Arial" w:hAnsi="Arial" w:cs="Arial"/>
                <w:lang w:val="en-US" w:eastAsia="en-US"/>
              </w:rPr>
              <w:t>Mio. €</w:t>
            </w:r>
          </w:p>
        </w:tc>
        <w:tc>
          <w:tcPr>
            <w:tcW w:w="1559" w:type="dxa"/>
            <w:tcBorders>
              <w:top w:val="single" w:sz="6" w:space="0" w:color="auto"/>
              <w:left w:val="single" w:sz="6" w:space="0" w:color="auto"/>
              <w:bottom w:val="single" w:sz="6" w:space="0" w:color="auto"/>
              <w:right w:val="single" w:sz="6" w:space="0" w:color="auto"/>
            </w:tcBorders>
            <w:hideMark/>
          </w:tcPr>
          <w:p w:rsidR="004E666B" w:rsidRPr="00CE254A" w:rsidRDefault="004E666B">
            <w:pPr>
              <w:spacing w:line="360" w:lineRule="atLeast"/>
              <w:ind w:right="284"/>
              <w:jc w:val="right"/>
              <w:rPr>
                <w:rFonts w:ascii="Arial" w:hAnsi="Arial" w:cs="Arial"/>
                <w:b/>
                <w:bCs/>
                <w:lang w:val="en-US" w:eastAsia="en-US"/>
              </w:rPr>
            </w:pPr>
            <w:r w:rsidRPr="00CE254A">
              <w:rPr>
                <w:rFonts w:ascii="Arial" w:hAnsi="Arial" w:cs="Arial"/>
                <w:b/>
                <w:bCs/>
                <w:lang w:val="en-US" w:eastAsia="en-US"/>
              </w:rPr>
              <w:t>603,4</w:t>
            </w:r>
          </w:p>
        </w:tc>
        <w:tc>
          <w:tcPr>
            <w:tcW w:w="1701" w:type="dxa"/>
            <w:tcBorders>
              <w:top w:val="single" w:sz="6" w:space="0" w:color="auto"/>
              <w:left w:val="single" w:sz="6" w:space="0" w:color="auto"/>
              <w:bottom w:val="single" w:sz="6" w:space="0" w:color="auto"/>
              <w:right w:val="single" w:sz="6" w:space="0" w:color="auto"/>
            </w:tcBorders>
            <w:hideMark/>
          </w:tcPr>
          <w:p w:rsidR="004E666B" w:rsidRPr="00CE254A" w:rsidRDefault="004E666B">
            <w:pPr>
              <w:spacing w:line="360" w:lineRule="atLeast"/>
              <w:ind w:right="284"/>
              <w:jc w:val="right"/>
              <w:rPr>
                <w:rFonts w:ascii="Arial" w:hAnsi="Arial" w:cs="Arial"/>
                <w:lang w:val="en-US" w:eastAsia="en-US"/>
              </w:rPr>
            </w:pPr>
            <w:r w:rsidRPr="00CE254A">
              <w:rPr>
                <w:rFonts w:ascii="Arial" w:hAnsi="Arial" w:cs="Arial"/>
                <w:lang w:val="en-US" w:eastAsia="en-US"/>
              </w:rPr>
              <w:t>522,7</w:t>
            </w:r>
          </w:p>
        </w:tc>
        <w:tc>
          <w:tcPr>
            <w:tcW w:w="2835" w:type="dxa"/>
            <w:tcBorders>
              <w:top w:val="single" w:sz="6" w:space="0" w:color="auto"/>
              <w:left w:val="single" w:sz="6" w:space="0" w:color="auto"/>
              <w:bottom w:val="single" w:sz="6" w:space="0" w:color="auto"/>
              <w:right w:val="single" w:sz="12" w:space="0" w:color="auto"/>
            </w:tcBorders>
            <w:hideMark/>
          </w:tcPr>
          <w:p w:rsidR="004E666B" w:rsidRPr="00CE254A" w:rsidRDefault="004E666B">
            <w:pPr>
              <w:spacing w:line="360" w:lineRule="atLeast"/>
              <w:ind w:right="1009"/>
              <w:rPr>
                <w:rFonts w:ascii="Arial" w:hAnsi="Arial" w:cs="Arial"/>
                <w:lang w:val="en-US" w:eastAsia="en-US"/>
              </w:rPr>
            </w:pPr>
            <w:r w:rsidRPr="00CE254A">
              <w:rPr>
                <w:rFonts w:ascii="Arial" w:hAnsi="Arial" w:cs="Arial"/>
                <w:lang w:val="en-US" w:eastAsia="en-US"/>
              </w:rPr>
              <w:t xml:space="preserve">        + 15,4 %</w:t>
            </w:r>
          </w:p>
        </w:tc>
      </w:tr>
      <w:tr w:rsidR="00CE254A" w:rsidRPr="00CE254A" w:rsidTr="004E666B">
        <w:tc>
          <w:tcPr>
            <w:tcW w:w="2127" w:type="dxa"/>
            <w:tcBorders>
              <w:top w:val="single" w:sz="6" w:space="0" w:color="auto"/>
              <w:left w:val="single" w:sz="12" w:space="0" w:color="auto"/>
              <w:bottom w:val="single" w:sz="6" w:space="0" w:color="auto"/>
              <w:right w:val="single" w:sz="6" w:space="0" w:color="auto"/>
            </w:tcBorders>
            <w:hideMark/>
          </w:tcPr>
          <w:p w:rsidR="004E666B" w:rsidRPr="00CE254A" w:rsidRDefault="004E666B">
            <w:pPr>
              <w:tabs>
                <w:tab w:val="left" w:pos="1134"/>
              </w:tabs>
              <w:spacing w:line="360" w:lineRule="atLeast"/>
              <w:rPr>
                <w:rFonts w:ascii="Arial" w:hAnsi="Arial" w:cs="Arial"/>
                <w:lang w:val="en-US" w:eastAsia="en-US"/>
              </w:rPr>
            </w:pPr>
            <w:r w:rsidRPr="00CE254A">
              <w:rPr>
                <w:rFonts w:ascii="Arial" w:hAnsi="Arial" w:cs="Arial"/>
                <w:lang w:val="en-US" w:eastAsia="en-US"/>
              </w:rPr>
              <w:t>Umsatzerlöse</w:t>
            </w:r>
          </w:p>
        </w:tc>
        <w:tc>
          <w:tcPr>
            <w:tcW w:w="850" w:type="dxa"/>
            <w:tcBorders>
              <w:top w:val="single" w:sz="6" w:space="0" w:color="auto"/>
              <w:left w:val="single" w:sz="6" w:space="0" w:color="auto"/>
              <w:bottom w:val="single" w:sz="6" w:space="0" w:color="auto"/>
              <w:right w:val="single" w:sz="6" w:space="0" w:color="auto"/>
            </w:tcBorders>
            <w:hideMark/>
          </w:tcPr>
          <w:p w:rsidR="004E666B" w:rsidRPr="00CE254A" w:rsidRDefault="004E666B">
            <w:pPr>
              <w:tabs>
                <w:tab w:val="left" w:pos="1134"/>
              </w:tabs>
              <w:spacing w:line="360" w:lineRule="atLeast"/>
              <w:rPr>
                <w:rFonts w:ascii="Arial" w:hAnsi="Arial" w:cs="Arial"/>
                <w:strike/>
                <w:lang w:val="en-US" w:eastAsia="en-US"/>
              </w:rPr>
            </w:pPr>
            <w:r w:rsidRPr="00CE254A">
              <w:rPr>
                <w:rFonts w:ascii="Arial" w:hAnsi="Arial" w:cs="Arial"/>
                <w:lang w:val="en-US" w:eastAsia="en-US"/>
              </w:rPr>
              <w:t>Mio. €</w:t>
            </w:r>
          </w:p>
        </w:tc>
        <w:tc>
          <w:tcPr>
            <w:tcW w:w="1559" w:type="dxa"/>
            <w:tcBorders>
              <w:top w:val="single" w:sz="6" w:space="0" w:color="auto"/>
              <w:left w:val="single" w:sz="6" w:space="0" w:color="auto"/>
              <w:bottom w:val="single" w:sz="6" w:space="0" w:color="auto"/>
              <w:right w:val="single" w:sz="6" w:space="0" w:color="auto"/>
            </w:tcBorders>
            <w:hideMark/>
          </w:tcPr>
          <w:p w:rsidR="004E666B" w:rsidRPr="00CE254A" w:rsidRDefault="004E666B">
            <w:pPr>
              <w:spacing w:line="360" w:lineRule="atLeast"/>
              <w:ind w:right="284"/>
              <w:jc w:val="right"/>
              <w:rPr>
                <w:rFonts w:ascii="Arial" w:hAnsi="Arial" w:cs="Arial"/>
                <w:b/>
                <w:bCs/>
                <w:lang w:val="en-US" w:eastAsia="en-US"/>
              </w:rPr>
            </w:pPr>
            <w:r w:rsidRPr="00CE254A">
              <w:rPr>
                <w:rFonts w:ascii="Arial" w:hAnsi="Arial" w:cs="Arial"/>
                <w:b/>
                <w:bCs/>
                <w:lang w:val="en-US" w:eastAsia="en-US"/>
              </w:rPr>
              <w:t>522,5</w:t>
            </w:r>
          </w:p>
        </w:tc>
        <w:tc>
          <w:tcPr>
            <w:tcW w:w="1701" w:type="dxa"/>
            <w:tcBorders>
              <w:top w:val="single" w:sz="6" w:space="0" w:color="auto"/>
              <w:left w:val="single" w:sz="6" w:space="0" w:color="auto"/>
              <w:bottom w:val="single" w:sz="6" w:space="0" w:color="auto"/>
              <w:right w:val="single" w:sz="6" w:space="0" w:color="auto"/>
            </w:tcBorders>
            <w:hideMark/>
          </w:tcPr>
          <w:p w:rsidR="004E666B" w:rsidRPr="00CE254A" w:rsidRDefault="004E666B">
            <w:pPr>
              <w:spacing w:line="360" w:lineRule="atLeast"/>
              <w:ind w:right="284"/>
              <w:jc w:val="right"/>
              <w:rPr>
                <w:rFonts w:ascii="Arial" w:hAnsi="Arial" w:cs="Arial"/>
                <w:lang w:val="en-US" w:eastAsia="en-US"/>
              </w:rPr>
            </w:pPr>
            <w:r w:rsidRPr="00CE254A">
              <w:rPr>
                <w:rFonts w:ascii="Arial" w:hAnsi="Arial" w:cs="Arial"/>
                <w:lang w:val="en-US" w:eastAsia="en-US"/>
              </w:rPr>
              <w:t>506,4</w:t>
            </w:r>
          </w:p>
        </w:tc>
        <w:tc>
          <w:tcPr>
            <w:tcW w:w="2835" w:type="dxa"/>
            <w:tcBorders>
              <w:top w:val="single" w:sz="6" w:space="0" w:color="auto"/>
              <w:left w:val="single" w:sz="6" w:space="0" w:color="auto"/>
              <w:bottom w:val="single" w:sz="6" w:space="0" w:color="auto"/>
              <w:right w:val="single" w:sz="12" w:space="0" w:color="auto"/>
            </w:tcBorders>
            <w:hideMark/>
          </w:tcPr>
          <w:p w:rsidR="004E666B" w:rsidRPr="00CE254A" w:rsidRDefault="004E666B">
            <w:pPr>
              <w:spacing w:line="360" w:lineRule="atLeast"/>
              <w:ind w:left="525" w:right="1009"/>
              <w:rPr>
                <w:rFonts w:ascii="Arial" w:hAnsi="Arial" w:cs="Arial"/>
                <w:lang w:val="en-US" w:eastAsia="en-US"/>
              </w:rPr>
            </w:pPr>
            <w:r w:rsidRPr="00CE254A">
              <w:rPr>
                <w:rFonts w:ascii="Arial" w:hAnsi="Arial" w:cs="Arial"/>
                <w:lang w:val="en-US" w:eastAsia="en-US"/>
              </w:rPr>
              <w:t>+  3,2 %</w:t>
            </w:r>
          </w:p>
        </w:tc>
      </w:tr>
      <w:tr w:rsidR="004E666B" w:rsidRPr="00CE254A" w:rsidTr="004E666B">
        <w:tc>
          <w:tcPr>
            <w:tcW w:w="2127" w:type="dxa"/>
            <w:tcBorders>
              <w:top w:val="single" w:sz="6" w:space="0" w:color="auto"/>
              <w:left w:val="single" w:sz="12" w:space="0" w:color="auto"/>
              <w:bottom w:val="single" w:sz="12" w:space="0" w:color="auto"/>
              <w:right w:val="single" w:sz="6" w:space="0" w:color="auto"/>
            </w:tcBorders>
            <w:hideMark/>
          </w:tcPr>
          <w:p w:rsidR="004E666B" w:rsidRPr="00CE254A" w:rsidRDefault="004E666B">
            <w:pPr>
              <w:tabs>
                <w:tab w:val="left" w:pos="1134"/>
              </w:tabs>
              <w:spacing w:line="360" w:lineRule="atLeast"/>
              <w:rPr>
                <w:rFonts w:ascii="Arial" w:hAnsi="Arial" w:cs="Arial"/>
                <w:i/>
                <w:vertAlign w:val="superscript"/>
                <w:lang w:val="en-US" w:eastAsia="en-US"/>
              </w:rPr>
            </w:pPr>
            <w:r w:rsidRPr="00CE254A">
              <w:rPr>
                <w:rFonts w:ascii="Arial" w:hAnsi="Arial" w:cs="Arial"/>
                <w:lang w:val="en-US" w:eastAsia="en-US"/>
              </w:rPr>
              <w:t xml:space="preserve">Belegschaft </w:t>
            </w:r>
            <w:r w:rsidRPr="00CE254A">
              <w:rPr>
                <w:rFonts w:ascii="Arial" w:hAnsi="Arial" w:cs="Arial"/>
                <w:sz w:val="18"/>
                <w:szCs w:val="18"/>
                <w:lang w:val="en-US" w:eastAsia="en-US"/>
              </w:rPr>
              <w:t>(31.03.)</w:t>
            </w:r>
          </w:p>
        </w:tc>
        <w:tc>
          <w:tcPr>
            <w:tcW w:w="850" w:type="dxa"/>
            <w:tcBorders>
              <w:top w:val="single" w:sz="6" w:space="0" w:color="auto"/>
              <w:left w:val="single" w:sz="6" w:space="0" w:color="auto"/>
              <w:bottom w:val="single" w:sz="12" w:space="0" w:color="auto"/>
              <w:right w:val="single" w:sz="6" w:space="0" w:color="auto"/>
            </w:tcBorders>
          </w:tcPr>
          <w:p w:rsidR="004E666B" w:rsidRPr="00CE254A" w:rsidRDefault="004E666B">
            <w:pPr>
              <w:tabs>
                <w:tab w:val="left" w:pos="1134"/>
              </w:tabs>
              <w:spacing w:line="360" w:lineRule="atLeast"/>
              <w:rPr>
                <w:rFonts w:ascii="Arial" w:hAnsi="Arial" w:cs="Arial"/>
                <w:lang w:val="en-US" w:eastAsia="en-US"/>
              </w:rPr>
            </w:pPr>
          </w:p>
        </w:tc>
        <w:tc>
          <w:tcPr>
            <w:tcW w:w="1559" w:type="dxa"/>
            <w:tcBorders>
              <w:top w:val="single" w:sz="6" w:space="0" w:color="auto"/>
              <w:left w:val="single" w:sz="6" w:space="0" w:color="auto"/>
              <w:bottom w:val="single" w:sz="12" w:space="0" w:color="auto"/>
              <w:right w:val="single" w:sz="6" w:space="0" w:color="auto"/>
            </w:tcBorders>
            <w:hideMark/>
          </w:tcPr>
          <w:p w:rsidR="004E666B" w:rsidRPr="00CE254A" w:rsidRDefault="004E666B">
            <w:pPr>
              <w:spacing w:line="360" w:lineRule="atLeast"/>
              <w:ind w:right="284"/>
              <w:jc w:val="right"/>
              <w:rPr>
                <w:rFonts w:ascii="Arial" w:hAnsi="Arial" w:cs="Arial"/>
                <w:b/>
                <w:bCs/>
                <w:lang w:val="en-US" w:eastAsia="en-US"/>
              </w:rPr>
            </w:pPr>
            <w:r w:rsidRPr="00CE254A">
              <w:rPr>
                <w:rFonts w:ascii="Arial" w:hAnsi="Arial" w:cs="Arial"/>
                <w:b/>
                <w:bCs/>
                <w:lang w:val="en-US" w:eastAsia="en-US"/>
              </w:rPr>
              <w:t>15.488</w:t>
            </w:r>
          </w:p>
        </w:tc>
        <w:tc>
          <w:tcPr>
            <w:tcW w:w="1701" w:type="dxa"/>
            <w:tcBorders>
              <w:top w:val="single" w:sz="6" w:space="0" w:color="auto"/>
              <w:left w:val="single" w:sz="6" w:space="0" w:color="auto"/>
              <w:bottom w:val="single" w:sz="12" w:space="0" w:color="auto"/>
              <w:right w:val="single" w:sz="6" w:space="0" w:color="auto"/>
            </w:tcBorders>
            <w:hideMark/>
          </w:tcPr>
          <w:p w:rsidR="004E666B" w:rsidRPr="00CE254A" w:rsidRDefault="004E666B">
            <w:pPr>
              <w:spacing w:line="360" w:lineRule="atLeast"/>
              <w:ind w:right="284"/>
              <w:jc w:val="right"/>
              <w:rPr>
                <w:rFonts w:ascii="Arial" w:hAnsi="Arial" w:cs="Arial"/>
                <w:lang w:val="en-US" w:eastAsia="en-US"/>
              </w:rPr>
            </w:pPr>
            <w:r w:rsidRPr="00CE254A">
              <w:rPr>
                <w:rFonts w:ascii="Arial" w:hAnsi="Arial" w:cs="Arial"/>
                <w:lang w:val="en-US" w:eastAsia="en-US"/>
              </w:rPr>
              <w:t>16.069</w:t>
            </w:r>
          </w:p>
        </w:tc>
        <w:tc>
          <w:tcPr>
            <w:tcW w:w="2835" w:type="dxa"/>
            <w:tcBorders>
              <w:top w:val="single" w:sz="6" w:space="0" w:color="auto"/>
              <w:left w:val="single" w:sz="6" w:space="0" w:color="auto"/>
              <w:bottom w:val="single" w:sz="12" w:space="0" w:color="auto"/>
              <w:right w:val="single" w:sz="12" w:space="0" w:color="auto"/>
            </w:tcBorders>
            <w:hideMark/>
          </w:tcPr>
          <w:p w:rsidR="004E666B" w:rsidRPr="00CE254A" w:rsidRDefault="004E666B">
            <w:pPr>
              <w:spacing w:line="360" w:lineRule="atLeast"/>
              <w:ind w:right="1009"/>
              <w:rPr>
                <w:rFonts w:ascii="Arial" w:hAnsi="Arial" w:cs="Arial"/>
                <w:lang w:val="en-US" w:eastAsia="en-US"/>
              </w:rPr>
            </w:pPr>
            <w:r w:rsidRPr="00CE254A">
              <w:rPr>
                <w:rFonts w:ascii="Arial" w:hAnsi="Arial" w:cs="Arial"/>
                <w:lang w:val="en-US" w:eastAsia="en-US"/>
              </w:rPr>
              <w:t xml:space="preserve">        -   3,6 %</w:t>
            </w:r>
          </w:p>
        </w:tc>
      </w:tr>
    </w:tbl>
    <w:p w:rsidR="004E666B" w:rsidRPr="00CE254A" w:rsidRDefault="004E666B" w:rsidP="004E666B">
      <w:pPr>
        <w:ind w:right="-1368"/>
        <w:rPr>
          <w:rFonts w:ascii="Arial" w:hAnsi="Arial" w:cs="Arial"/>
        </w:rPr>
      </w:pPr>
    </w:p>
    <w:p w:rsidR="004E666B" w:rsidRPr="00CE254A" w:rsidRDefault="004E666B" w:rsidP="004E666B">
      <w:pPr>
        <w:jc w:val="lowKashida"/>
        <w:rPr>
          <w:rFonts w:ascii="Arial" w:hAnsi="Arial" w:cs="Arial"/>
        </w:rPr>
      </w:pPr>
    </w:p>
    <w:p w:rsidR="004E666B" w:rsidRPr="00CE254A" w:rsidRDefault="004E666B" w:rsidP="004E666B">
      <w:pPr>
        <w:spacing w:line="360" w:lineRule="auto"/>
        <w:ind w:right="74"/>
        <w:rPr>
          <w:rFonts w:ascii="Arial" w:hAnsi="Arial" w:cs="Arial"/>
          <w:b/>
        </w:rPr>
      </w:pPr>
      <w:r w:rsidRPr="00CE254A">
        <w:rPr>
          <w:rFonts w:ascii="Arial" w:hAnsi="Arial" w:cs="Arial"/>
          <w:b/>
        </w:rPr>
        <w:t>Auftragseingang und Umsatz</w:t>
      </w:r>
    </w:p>
    <w:p w:rsidR="004E666B" w:rsidRPr="00CE254A" w:rsidRDefault="004E666B" w:rsidP="004E666B">
      <w:pPr>
        <w:spacing w:line="360" w:lineRule="auto"/>
        <w:ind w:right="74"/>
        <w:rPr>
          <w:rFonts w:ascii="Arial" w:hAnsi="Arial" w:cs="Arial"/>
          <w:b/>
        </w:rPr>
      </w:pPr>
    </w:p>
    <w:p w:rsidR="004E666B" w:rsidRPr="00CE254A" w:rsidRDefault="00AD6070" w:rsidP="004E666B">
      <w:pPr>
        <w:spacing w:line="360" w:lineRule="auto"/>
        <w:ind w:right="-108"/>
        <w:jc w:val="both"/>
        <w:rPr>
          <w:rFonts w:ascii="Arial" w:hAnsi="Arial" w:cs="Arial"/>
        </w:rPr>
      </w:pPr>
      <w:r w:rsidRPr="00CE254A">
        <w:rPr>
          <w:rFonts w:ascii="Arial" w:hAnsi="Arial" w:cs="Arial"/>
        </w:rPr>
        <w:t>Im Konzern ist der Auftrags</w:t>
      </w:r>
      <w:r w:rsidR="004E666B" w:rsidRPr="00CE254A">
        <w:rPr>
          <w:rFonts w:ascii="Arial" w:hAnsi="Arial" w:cs="Arial"/>
        </w:rPr>
        <w:t xml:space="preserve">eingang in den Monaten Januar bis März 2017 gegenüber dem ersten Quartal des Vorjahres um 80,7 Mio. € auf 603,4 Mio. € gestiegen. Dieser Zuwachs um 15,4 % stützte sich </w:t>
      </w:r>
      <w:r w:rsidR="00455215" w:rsidRPr="00CE254A">
        <w:rPr>
          <w:rFonts w:ascii="Arial" w:hAnsi="Arial" w:cs="Arial"/>
        </w:rPr>
        <w:t>vornehmlich</w:t>
      </w:r>
      <w:r w:rsidR="004E666B" w:rsidRPr="00CE254A">
        <w:rPr>
          <w:rFonts w:ascii="Arial" w:hAnsi="Arial" w:cs="Arial"/>
        </w:rPr>
        <w:t xml:space="preserve"> auf Aufträge aus der Industrie, einschließ</w:t>
      </w:r>
      <w:r w:rsidR="00E839B7">
        <w:rPr>
          <w:rFonts w:ascii="Arial" w:hAnsi="Arial" w:cs="Arial"/>
        </w:rPr>
        <w:softHyphen/>
      </w:r>
      <w:r w:rsidR="004E666B" w:rsidRPr="00CE254A">
        <w:rPr>
          <w:rFonts w:ascii="Arial" w:hAnsi="Arial" w:cs="Arial"/>
        </w:rPr>
        <w:t>lich der Chemie- und Petrochemie, der Energieversorgung und dem Bergbau. Erheblich zugenommen haben außerdem die Bestellungen aus der Wasser- und Abwasser</w:t>
      </w:r>
      <w:r w:rsidR="00E839B7">
        <w:rPr>
          <w:rFonts w:ascii="Arial" w:hAnsi="Arial" w:cs="Arial"/>
        </w:rPr>
        <w:softHyphen/>
      </w:r>
      <w:r w:rsidR="004E666B" w:rsidRPr="00CE254A">
        <w:rPr>
          <w:rFonts w:ascii="Arial" w:hAnsi="Arial" w:cs="Arial"/>
        </w:rPr>
        <w:t>wirtschaft.</w:t>
      </w:r>
    </w:p>
    <w:p w:rsidR="004E666B" w:rsidRPr="00CE254A" w:rsidRDefault="004E666B" w:rsidP="004E666B">
      <w:pPr>
        <w:spacing w:line="360" w:lineRule="auto"/>
        <w:ind w:right="-108"/>
        <w:jc w:val="both"/>
        <w:rPr>
          <w:rFonts w:ascii="Arial" w:hAnsi="Arial" w:cs="Arial"/>
        </w:rPr>
      </w:pPr>
    </w:p>
    <w:p w:rsidR="004E666B" w:rsidRPr="00CE254A" w:rsidRDefault="004E666B" w:rsidP="004E666B">
      <w:pPr>
        <w:spacing w:line="360" w:lineRule="auto"/>
        <w:ind w:right="-108"/>
        <w:jc w:val="both"/>
        <w:rPr>
          <w:rFonts w:ascii="Arial" w:hAnsi="Arial" w:cs="Arial"/>
        </w:rPr>
      </w:pPr>
      <w:r w:rsidRPr="00CE254A">
        <w:rPr>
          <w:rFonts w:ascii="Arial" w:hAnsi="Arial" w:cs="Arial"/>
        </w:rPr>
        <w:t>Den stärksten Anstieg verzeichneten wir bei den Aufträgen für Pumpen. Hier wirkten sich mehrere Großaufträge aus dem Bergbau, der Chemie</w:t>
      </w:r>
      <w:r w:rsidR="00051585" w:rsidRPr="00CE254A">
        <w:rPr>
          <w:rFonts w:ascii="Arial" w:hAnsi="Arial" w:cs="Arial"/>
        </w:rPr>
        <w:t>-</w:t>
      </w:r>
      <w:r w:rsidRPr="00CE254A">
        <w:rPr>
          <w:rFonts w:ascii="Arial" w:hAnsi="Arial" w:cs="Arial"/>
        </w:rPr>
        <w:t xml:space="preserve"> und Petrochemie sowie der Energiewirtschaft positiv aus. Aber auch bei Armaturen und im Service verzeichneten wir deutliche Zuwächse.</w:t>
      </w:r>
    </w:p>
    <w:p w:rsidR="004E666B" w:rsidRPr="00CE254A" w:rsidRDefault="004E666B" w:rsidP="004E666B">
      <w:pPr>
        <w:spacing w:line="360" w:lineRule="auto"/>
        <w:ind w:right="-108"/>
        <w:jc w:val="both"/>
        <w:rPr>
          <w:rFonts w:ascii="Arial" w:hAnsi="Arial" w:cs="Arial"/>
        </w:rPr>
      </w:pPr>
      <w:r w:rsidRPr="00CE254A">
        <w:rPr>
          <w:rFonts w:ascii="Arial" w:hAnsi="Arial" w:cs="Arial"/>
        </w:rPr>
        <w:lastRenderedPageBreak/>
        <w:t xml:space="preserve">Der Konzernumsatz ist im gleichen Zeitraum um 16,1 Mio. €, und damit um 3,2 %, auf 522,5 Mio. € gestiegen. In den Regionen Asien / Pazifik und Mittlerer Osten / Afrika führte die Fakturierung einiger Projektaufträge aus den Vorjahren </w:t>
      </w:r>
      <w:r w:rsidR="00AD6070" w:rsidRPr="00CE254A">
        <w:rPr>
          <w:rFonts w:ascii="Arial" w:hAnsi="Arial" w:cs="Arial"/>
        </w:rPr>
        <w:t xml:space="preserve">sogar </w:t>
      </w:r>
      <w:r w:rsidRPr="00CE254A">
        <w:rPr>
          <w:rFonts w:ascii="Arial" w:hAnsi="Arial" w:cs="Arial"/>
        </w:rPr>
        <w:t xml:space="preserve">zu zweistelligen Zuwachsraten. Die Gesellschaften in Amerika übertrafen </w:t>
      </w:r>
      <w:r w:rsidR="00FE4AA7">
        <w:rPr>
          <w:rFonts w:ascii="Arial" w:hAnsi="Arial" w:cs="Arial"/>
        </w:rPr>
        <w:t xml:space="preserve">knapp </w:t>
      </w:r>
      <w:r w:rsidRPr="00CE254A">
        <w:rPr>
          <w:rFonts w:ascii="Arial" w:hAnsi="Arial" w:cs="Arial"/>
        </w:rPr>
        <w:t xml:space="preserve">das Vorjahresniveau. Lediglich in Europa, wo weniger Großaufträge zur Auslieferung anstanden, ging der Umsatz </w:t>
      </w:r>
      <w:r w:rsidR="00FE4AA7">
        <w:rPr>
          <w:rFonts w:ascii="Arial" w:hAnsi="Arial" w:cs="Arial"/>
        </w:rPr>
        <w:t xml:space="preserve">leicht </w:t>
      </w:r>
      <w:r w:rsidRPr="00CE254A">
        <w:rPr>
          <w:rFonts w:ascii="Arial" w:hAnsi="Arial" w:cs="Arial"/>
        </w:rPr>
        <w:t>zurück. Insgesamt konnten wi</w:t>
      </w:r>
      <w:r w:rsidR="00ED337A" w:rsidRPr="00CE254A">
        <w:rPr>
          <w:rFonts w:ascii="Arial" w:hAnsi="Arial" w:cs="Arial"/>
        </w:rPr>
        <w:t xml:space="preserve">r unseren Umsatz in allen drei </w:t>
      </w:r>
      <w:r w:rsidRPr="00CE254A">
        <w:rPr>
          <w:rFonts w:ascii="Arial" w:hAnsi="Arial" w:cs="Arial"/>
        </w:rPr>
        <w:t>Segmenten – Pumpen, Armaturen</w:t>
      </w:r>
      <w:r w:rsidR="00051585" w:rsidRPr="00CE254A">
        <w:rPr>
          <w:rFonts w:ascii="Arial" w:hAnsi="Arial" w:cs="Arial"/>
        </w:rPr>
        <w:t>,</w:t>
      </w:r>
      <w:r w:rsidRPr="00CE254A">
        <w:rPr>
          <w:rFonts w:ascii="Arial" w:hAnsi="Arial" w:cs="Arial"/>
        </w:rPr>
        <w:t xml:space="preserve"> Service – steigern. Im Service</w:t>
      </w:r>
      <w:r w:rsidR="00ED337A" w:rsidRPr="00CE254A">
        <w:rPr>
          <w:rFonts w:ascii="Arial" w:hAnsi="Arial" w:cs="Arial"/>
        </w:rPr>
        <w:t xml:space="preserve"> </w:t>
      </w:r>
      <w:r w:rsidRPr="00CE254A">
        <w:rPr>
          <w:rFonts w:ascii="Arial" w:hAnsi="Arial" w:cs="Arial"/>
        </w:rPr>
        <w:t xml:space="preserve">fiel die prozentuale Verbesserung </w:t>
      </w:r>
      <w:r w:rsidR="00D8251E">
        <w:rPr>
          <w:rFonts w:ascii="Arial" w:hAnsi="Arial" w:cs="Arial"/>
        </w:rPr>
        <w:t>dabei</w:t>
      </w:r>
      <w:r w:rsidRPr="00CE254A">
        <w:rPr>
          <w:rFonts w:ascii="Arial" w:hAnsi="Arial" w:cs="Arial"/>
        </w:rPr>
        <w:t xml:space="preserve"> zweistellig aus.</w:t>
      </w:r>
    </w:p>
    <w:p w:rsidR="004E666B" w:rsidRPr="00CE254A" w:rsidRDefault="004E666B" w:rsidP="004E666B">
      <w:pPr>
        <w:spacing w:line="360" w:lineRule="auto"/>
        <w:ind w:right="-108"/>
        <w:jc w:val="both"/>
        <w:rPr>
          <w:rFonts w:ascii="Arial" w:hAnsi="Arial" w:cs="Arial"/>
        </w:rPr>
      </w:pPr>
    </w:p>
    <w:p w:rsidR="004E666B" w:rsidRPr="00CE254A" w:rsidRDefault="004E666B" w:rsidP="004E666B">
      <w:pPr>
        <w:spacing w:line="360" w:lineRule="auto"/>
        <w:ind w:right="74"/>
        <w:jc w:val="both"/>
        <w:rPr>
          <w:rFonts w:ascii="Arial" w:hAnsi="Arial" w:cs="Arial"/>
          <w:b/>
        </w:rPr>
      </w:pPr>
      <w:r w:rsidRPr="00CE254A">
        <w:rPr>
          <w:rFonts w:ascii="Arial" w:hAnsi="Arial" w:cs="Arial"/>
          <w:b/>
        </w:rPr>
        <w:t>Veränderung der Mitarbeiterzahlen</w:t>
      </w:r>
    </w:p>
    <w:p w:rsidR="004E666B" w:rsidRPr="00CE254A" w:rsidRDefault="004E666B" w:rsidP="004E666B">
      <w:pPr>
        <w:spacing w:line="360" w:lineRule="auto"/>
        <w:ind w:right="74"/>
        <w:jc w:val="both"/>
        <w:rPr>
          <w:rFonts w:ascii="Arial" w:hAnsi="Arial" w:cs="Arial"/>
          <w:b/>
        </w:rPr>
      </w:pPr>
    </w:p>
    <w:p w:rsidR="004E666B" w:rsidRPr="00CE254A" w:rsidRDefault="004E666B" w:rsidP="004E666B">
      <w:pPr>
        <w:spacing w:line="360" w:lineRule="auto"/>
        <w:ind w:right="74"/>
        <w:jc w:val="both"/>
        <w:rPr>
          <w:rFonts w:ascii="Arial" w:hAnsi="Arial" w:cs="Arial"/>
        </w:rPr>
      </w:pPr>
      <w:r w:rsidRPr="00CE254A">
        <w:rPr>
          <w:rFonts w:ascii="Arial" w:hAnsi="Arial" w:cs="Arial"/>
        </w:rPr>
        <w:t xml:space="preserve">Die Zahl der im Konzern tätigen Mitarbeiter hat sich binnen zwölf Monaten um 581 auf 15.488 (Stichtag 31. März 2017) verringert. Dies ist hauptsächlich eine Folge des seit Anfang 2016 laufenden Effizienzsteigerungsprogramms, das </w:t>
      </w:r>
      <w:r w:rsidR="00AD6070" w:rsidRPr="00CE254A">
        <w:rPr>
          <w:rFonts w:ascii="Arial" w:hAnsi="Arial" w:cs="Arial"/>
        </w:rPr>
        <w:t xml:space="preserve">auch </w:t>
      </w:r>
      <w:r w:rsidRPr="00CE254A">
        <w:rPr>
          <w:rFonts w:ascii="Arial" w:hAnsi="Arial" w:cs="Arial"/>
        </w:rPr>
        <w:t>eine Reduzie</w:t>
      </w:r>
      <w:r w:rsidR="00E839B7">
        <w:rPr>
          <w:rFonts w:ascii="Arial" w:hAnsi="Arial" w:cs="Arial"/>
        </w:rPr>
        <w:softHyphen/>
      </w:r>
      <w:r w:rsidRPr="00CE254A">
        <w:rPr>
          <w:rFonts w:ascii="Arial" w:hAnsi="Arial" w:cs="Arial"/>
        </w:rPr>
        <w:t xml:space="preserve">rung der Personalkosten </w:t>
      </w:r>
      <w:r w:rsidR="00AD6070" w:rsidRPr="00CE254A">
        <w:rPr>
          <w:rFonts w:ascii="Arial" w:hAnsi="Arial" w:cs="Arial"/>
        </w:rPr>
        <w:t>beinhaltet</w:t>
      </w:r>
      <w:r w:rsidRPr="00CE254A">
        <w:rPr>
          <w:rFonts w:ascii="Arial" w:hAnsi="Arial" w:cs="Arial"/>
        </w:rPr>
        <w:t xml:space="preserve">. </w:t>
      </w:r>
      <w:r w:rsidR="005B3F9A">
        <w:rPr>
          <w:rFonts w:ascii="Arial" w:hAnsi="Arial" w:cs="Arial"/>
        </w:rPr>
        <w:t xml:space="preserve">Der Belegschaftsrückgang betraf </w:t>
      </w:r>
      <w:r w:rsidRPr="00CE254A">
        <w:rPr>
          <w:rFonts w:ascii="Arial" w:hAnsi="Arial" w:cs="Arial"/>
        </w:rPr>
        <w:t>vornehmlich Gesellschaften in Eu</w:t>
      </w:r>
      <w:r w:rsidR="00AD6070" w:rsidRPr="00CE254A">
        <w:rPr>
          <w:rFonts w:ascii="Arial" w:hAnsi="Arial" w:cs="Arial"/>
        </w:rPr>
        <w:t>ropa und Amerika, wo wir unsere</w:t>
      </w:r>
      <w:r w:rsidRPr="00CE254A">
        <w:rPr>
          <w:rFonts w:ascii="Arial" w:hAnsi="Arial" w:cs="Arial"/>
        </w:rPr>
        <w:t xml:space="preserve"> Personal</w:t>
      </w:r>
      <w:r w:rsidR="00AD6070" w:rsidRPr="00CE254A">
        <w:rPr>
          <w:rFonts w:ascii="Arial" w:hAnsi="Arial" w:cs="Arial"/>
        </w:rPr>
        <w:t xml:space="preserve">kapazität </w:t>
      </w:r>
      <w:r w:rsidRPr="00CE254A">
        <w:rPr>
          <w:rFonts w:ascii="Arial" w:hAnsi="Arial" w:cs="Arial"/>
        </w:rPr>
        <w:t>an ver</w:t>
      </w:r>
      <w:r w:rsidR="00E839B7">
        <w:rPr>
          <w:rFonts w:ascii="Arial" w:hAnsi="Arial" w:cs="Arial"/>
        </w:rPr>
        <w:softHyphen/>
      </w:r>
      <w:r w:rsidRPr="00CE254A">
        <w:rPr>
          <w:rFonts w:ascii="Arial" w:hAnsi="Arial" w:cs="Arial"/>
        </w:rPr>
        <w:t>änderte Marktbedingungen an</w:t>
      </w:r>
      <w:r w:rsidR="00AD6070" w:rsidRPr="00CE254A">
        <w:rPr>
          <w:rFonts w:ascii="Arial" w:hAnsi="Arial" w:cs="Arial"/>
        </w:rPr>
        <w:t>ge</w:t>
      </w:r>
      <w:r w:rsidRPr="00CE254A">
        <w:rPr>
          <w:rFonts w:ascii="Arial" w:hAnsi="Arial" w:cs="Arial"/>
        </w:rPr>
        <w:t>passt</w:t>
      </w:r>
      <w:r w:rsidR="00AD6070" w:rsidRPr="00CE254A">
        <w:rPr>
          <w:rFonts w:ascii="Arial" w:hAnsi="Arial" w:cs="Arial"/>
        </w:rPr>
        <w:t xml:space="preserve"> haben</w:t>
      </w:r>
      <w:r w:rsidRPr="00CE254A">
        <w:rPr>
          <w:rFonts w:ascii="Arial" w:hAnsi="Arial" w:cs="Arial"/>
        </w:rPr>
        <w:t>.</w:t>
      </w:r>
    </w:p>
    <w:p w:rsidR="00FE4AA7" w:rsidRPr="00CE254A" w:rsidRDefault="00FE4AA7" w:rsidP="00FE4AA7">
      <w:pPr>
        <w:spacing w:line="360" w:lineRule="auto"/>
        <w:ind w:right="-108"/>
        <w:jc w:val="both"/>
        <w:rPr>
          <w:rFonts w:ascii="Arial" w:hAnsi="Arial" w:cs="Arial"/>
        </w:rPr>
      </w:pPr>
    </w:p>
    <w:p w:rsidR="004E666B" w:rsidRPr="00CE254A" w:rsidRDefault="004E666B" w:rsidP="004E666B">
      <w:pPr>
        <w:spacing w:line="360" w:lineRule="auto"/>
        <w:ind w:right="74"/>
        <w:jc w:val="both"/>
        <w:rPr>
          <w:rFonts w:ascii="Arial" w:hAnsi="Arial" w:cs="Arial"/>
          <w:b/>
        </w:rPr>
      </w:pPr>
      <w:r w:rsidRPr="00CE254A">
        <w:rPr>
          <w:rFonts w:ascii="Arial" w:hAnsi="Arial" w:cs="Arial"/>
          <w:b/>
        </w:rPr>
        <w:t>Ertrags- und Finanzlage</w:t>
      </w:r>
    </w:p>
    <w:p w:rsidR="004E666B" w:rsidRPr="00CE254A" w:rsidRDefault="004E666B" w:rsidP="004E666B">
      <w:pPr>
        <w:spacing w:line="360" w:lineRule="auto"/>
        <w:ind w:right="74"/>
        <w:jc w:val="both"/>
        <w:rPr>
          <w:rFonts w:ascii="Arial" w:hAnsi="Arial" w:cs="Arial"/>
          <w:highlight w:val="yellow"/>
        </w:rPr>
      </w:pPr>
    </w:p>
    <w:p w:rsidR="004E666B" w:rsidRPr="00CE254A" w:rsidRDefault="004E666B" w:rsidP="004E666B">
      <w:pPr>
        <w:spacing w:line="360" w:lineRule="auto"/>
        <w:ind w:right="74"/>
        <w:jc w:val="both"/>
        <w:rPr>
          <w:rFonts w:ascii="Arial" w:hAnsi="Arial" w:cs="Arial"/>
        </w:rPr>
      </w:pPr>
      <w:r w:rsidRPr="00CE254A">
        <w:rPr>
          <w:rFonts w:ascii="Arial" w:hAnsi="Arial" w:cs="Arial"/>
        </w:rPr>
        <w:t xml:space="preserve">In den ersten drei Monaten haben wir unser Konzernergebnis gegenüber dem vergleichbaren Vorjahreszeitraum </w:t>
      </w:r>
      <w:r w:rsidR="00AD6070" w:rsidRPr="00CE254A">
        <w:rPr>
          <w:rFonts w:ascii="Arial" w:hAnsi="Arial" w:cs="Arial"/>
        </w:rPr>
        <w:t>kräftig</w:t>
      </w:r>
      <w:r w:rsidRPr="00CE254A">
        <w:rPr>
          <w:rFonts w:ascii="Arial" w:hAnsi="Arial" w:cs="Arial"/>
        </w:rPr>
        <w:t xml:space="preserve"> gesteigert. Dazu haben außer dem Umsatz</w:t>
      </w:r>
      <w:r w:rsidR="00E839B7">
        <w:rPr>
          <w:rFonts w:ascii="Arial" w:hAnsi="Arial" w:cs="Arial"/>
        </w:rPr>
        <w:softHyphen/>
      </w:r>
      <w:r w:rsidRPr="00CE254A">
        <w:rPr>
          <w:rFonts w:ascii="Arial" w:hAnsi="Arial" w:cs="Arial"/>
        </w:rPr>
        <w:t xml:space="preserve">wachstum die Maßnahmen </w:t>
      </w:r>
      <w:r w:rsidR="00204709" w:rsidRPr="00CE254A">
        <w:rPr>
          <w:rFonts w:ascii="Arial" w:hAnsi="Arial" w:cs="Arial"/>
        </w:rPr>
        <w:t xml:space="preserve">des </w:t>
      </w:r>
      <w:r w:rsidRPr="00CE254A">
        <w:rPr>
          <w:rFonts w:ascii="Arial" w:hAnsi="Arial" w:cs="Arial"/>
        </w:rPr>
        <w:t xml:space="preserve">Effizienzsteigerungsprogramms beigetragen, das </w:t>
      </w:r>
      <w:r w:rsidR="00204709" w:rsidRPr="00CE254A">
        <w:rPr>
          <w:rFonts w:ascii="Arial" w:hAnsi="Arial" w:cs="Arial"/>
        </w:rPr>
        <w:t xml:space="preserve">bis Ende 2018 </w:t>
      </w:r>
      <w:r w:rsidRPr="00CE254A">
        <w:rPr>
          <w:rFonts w:ascii="Arial" w:hAnsi="Arial" w:cs="Arial"/>
        </w:rPr>
        <w:t>auf eine je zehnproze</w:t>
      </w:r>
      <w:r w:rsidR="00204709" w:rsidRPr="00CE254A">
        <w:rPr>
          <w:rFonts w:ascii="Arial" w:hAnsi="Arial" w:cs="Arial"/>
        </w:rPr>
        <w:t>ntige Verringerung der Material-</w:t>
      </w:r>
      <w:r w:rsidRPr="00CE254A">
        <w:rPr>
          <w:rFonts w:ascii="Arial" w:hAnsi="Arial" w:cs="Arial"/>
        </w:rPr>
        <w:t>, Personal- und Sachkosten zielt. Gegenläufig w</w:t>
      </w:r>
      <w:r w:rsidR="00114EC6" w:rsidRPr="00CE254A">
        <w:rPr>
          <w:rFonts w:ascii="Arial" w:hAnsi="Arial" w:cs="Arial"/>
        </w:rPr>
        <w:t>irkten</w:t>
      </w:r>
      <w:r w:rsidRPr="00CE254A">
        <w:rPr>
          <w:rFonts w:ascii="Arial" w:hAnsi="Arial" w:cs="Arial"/>
        </w:rPr>
        <w:t xml:space="preserve"> die mit diesen Maßnahmen verbundenen </w:t>
      </w:r>
      <w:r w:rsidR="00AD6070" w:rsidRPr="00CE254A">
        <w:rPr>
          <w:rFonts w:ascii="Arial" w:hAnsi="Arial" w:cs="Arial"/>
        </w:rPr>
        <w:t>Einmal</w:t>
      </w:r>
      <w:r w:rsidR="00FE4AA7">
        <w:rPr>
          <w:rFonts w:ascii="Arial" w:hAnsi="Arial" w:cs="Arial"/>
        </w:rPr>
        <w:t>a</w:t>
      </w:r>
      <w:r w:rsidRPr="00CE254A">
        <w:rPr>
          <w:rFonts w:ascii="Arial" w:hAnsi="Arial" w:cs="Arial"/>
        </w:rPr>
        <w:t xml:space="preserve">ufwendungen. </w:t>
      </w:r>
    </w:p>
    <w:p w:rsidR="004E666B" w:rsidRPr="00CE254A" w:rsidRDefault="004E666B" w:rsidP="004E666B">
      <w:pPr>
        <w:spacing w:line="360" w:lineRule="auto"/>
        <w:ind w:right="74"/>
        <w:jc w:val="both"/>
        <w:rPr>
          <w:rFonts w:ascii="Arial" w:hAnsi="Arial" w:cs="Arial"/>
        </w:rPr>
      </w:pPr>
    </w:p>
    <w:p w:rsidR="004E666B" w:rsidRPr="00CE254A" w:rsidRDefault="004E666B" w:rsidP="004E666B">
      <w:pPr>
        <w:spacing w:line="360" w:lineRule="auto"/>
        <w:ind w:right="74"/>
        <w:jc w:val="both"/>
        <w:rPr>
          <w:rFonts w:ascii="Arial" w:hAnsi="Arial" w:cs="Arial"/>
        </w:rPr>
      </w:pPr>
      <w:r w:rsidRPr="00CE254A">
        <w:rPr>
          <w:rFonts w:ascii="Arial" w:hAnsi="Arial" w:cs="Arial"/>
        </w:rPr>
        <w:t xml:space="preserve">Der </w:t>
      </w:r>
      <w:r w:rsidR="0065622D" w:rsidRPr="00CE254A">
        <w:rPr>
          <w:rFonts w:ascii="Arial" w:hAnsi="Arial" w:cs="Arial"/>
        </w:rPr>
        <w:t>Saldo aus verzinslichen Geldwerten und Finanz</w:t>
      </w:r>
      <w:r w:rsidRPr="00CE254A">
        <w:rPr>
          <w:rFonts w:ascii="Arial" w:hAnsi="Arial" w:cs="Arial"/>
        </w:rPr>
        <w:t>sch</w:t>
      </w:r>
      <w:r w:rsidR="00844BB9">
        <w:rPr>
          <w:rFonts w:ascii="Arial" w:hAnsi="Arial" w:cs="Arial"/>
        </w:rPr>
        <w:t>ulden übertraf am 31. März den Vorj</w:t>
      </w:r>
      <w:r w:rsidRPr="00CE254A">
        <w:rPr>
          <w:rFonts w:ascii="Arial" w:hAnsi="Arial" w:cs="Arial"/>
        </w:rPr>
        <w:t>ahres</w:t>
      </w:r>
      <w:r w:rsidR="00844BB9">
        <w:rPr>
          <w:rFonts w:ascii="Arial" w:hAnsi="Arial" w:cs="Arial"/>
        </w:rPr>
        <w:t>-E</w:t>
      </w:r>
      <w:r w:rsidRPr="00CE254A">
        <w:rPr>
          <w:rFonts w:ascii="Arial" w:hAnsi="Arial" w:cs="Arial"/>
        </w:rPr>
        <w:t>ndwert. Zum 31. Dezember 2016 hatte die Nettofinanzposition knapp 260 Mio. € betragen.</w:t>
      </w:r>
    </w:p>
    <w:p w:rsidR="003576F5" w:rsidRPr="00CE254A" w:rsidRDefault="003576F5" w:rsidP="004E666B">
      <w:pPr>
        <w:spacing w:line="360" w:lineRule="auto"/>
        <w:ind w:right="74"/>
        <w:jc w:val="both"/>
        <w:rPr>
          <w:rFonts w:ascii="Arial" w:hAnsi="Arial" w:cs="Arial"/>
        </w:rPr>
      </w:pPr>
    </w:p>
    <w:p w:rsidR="00D8251E" w:rsidRDefault="00D8251E" w:rsidP="004E666B">
      <w:pPr>
        <w:spacing w:line="360" w:lineRule="auto"/>
        <w:ind w:right="74"/>
        <w:jc w:val="both"/>
        <w:rPr>
          <w:rFonts w:ascii="Arial" w:hAnsi="Arial" w:cs="Arial"/>
          <w:b/>
        </w:rPr>
      </w:pPr>
    </w:p>
    <w:p w:rsidR="004E666B" w:rsidRPr="00CE254A" w:rsidRDefault="004E666B" w:rsidP="004E666B">
      <w:pPr>
        <w:spacing w:line="360" w:lineRule="auto"/>
        <w:ind w:right="74"/>
        <w:jc w:val="both"/>
        <w:rPr>
          <w:rFonts w:ascii="Arial" w:hAnsi="Arial" w:cs="Arial"/>
          <w:b/>
        </w:rPr>
      </w:pPr>
      <w:r w:rsidRPr="00CE254A">
        <w:rPr>
          <w:rFonts w:ascii="Arial" w:hAnsi="Arial" w:cs="Arial"/>
          <w:b/>
        </w:rPr>
        <w:t>Ausblick</w:t>
      </w:r>
    </w:p>
    <w:p w:rsidR="004E666B" w:rsidRPr="00CE254A" w:rsidRDefault="004E666B" w:rsidP="004E666B">
      <w:pPr>
        <w:spacing w:line="360" w:lineRule="auto"/>
        <w:ind w:right="74"/>
        <w:jc w:val="both"/>
        <w:rPr>
          <w:rFonts w:ascii="Arial" w:hAnsi="Arial" w:cs="Arial"/>
        </w:rPr>
      </w:pPr>
    </w:p>
    <w:p w:rsidR="00902F42" w:rsidRPr="00CE254A" w:rsidRDefault="00902F42" w:rsidP="00902F42">
      <w:pPr>
        <w:spacing w:line="360" w:lineRule="auto"/>
        <w:ind w:right="74"/>
        <w:jc w:val="both"/>
        <w:rPr>
          <w:rFonts w:ascii="Arial" w:hAnsi="Arial" w:cs="Arial"/>
        </w:rPr>
      </w:pPr>
      <w:r w:rsidRPr="00CE254A">
        <w:rPr>
          <w:rFonts w:ascii="Arial" w:hAnsi="Arial" w:cs="Arial"/>
        </w:rPr>
        <w:t>Unsere Prognose für 2017 bestätigen wir aus heutiger Sicht. Hiernach erwarten wir eine deutli</w:t>
      </w:r>
      <w:r w:rsidR="0065622D" w:rsidRPr="00CE254A">
        <w:rPr>
          <w:rFonts w:ascii="Arial" w:hAnsi="Arial" w:cs="Arial"/>
        </w:rPr>
        <w:t>che Steigerung unseres Auftrags</w:t>
      </w:r>
      <w:r w:rsidRPr="00CE254A">
        <w:rPr>
          <w:rFonts w:ascii="Arial" w:hAnsi="Arial" w:cs="Arial"/>
        </w:rPr>
        <w:t>e</w:t>
      </w:r>
      <w:r w:rsidR="00204709" w:rsidRPr="00CE254A">
        <w:rPr>
          <w:rFonts w:ascii="Arial" w:hAnsi="Arial" w:cs="Arial"/>
        </w:rPr>
        <w:t>ingangs gegenüber dem Vorjahr. D</w:t>
      </w:r>
      <w:r w:rsidRPr="00CE254A">
        <w:rPr>
          <w:rFonts w:ascii="Arial" w:hAnsi="Arial" w:cs="Arial"/>
        </w:rPr>
        <w:t>iese</w:t>
      </w:r>
      <w:r w:rsidR="00AD6070" w:rsidRPr="00CE254A">
        <w:rPr>
          <w:rFonts w:ascii="Arial" w:hAnsi="Arial" w:cs="Arial"/>
        </w:rPr>
        <w:t>r Anstieg</w:t>
      </w:r>
      <w:r w:rsidRPr="00CE254A">
        <w:rPr>
          <w:rFonts w:ascii="Arial" w:hAnsi="Arial" w:cs="Arial"/>
        </w:rPr>
        <w:t xml:space="preserve"> wird allerdings </w:t>
      </w:r>
      <w:r w:rsidR="00204709" w:rsidRPr="00CE254A">
        <w:rPr>
          <w:rFonts w:ascii="Arial" w:hAnsi="Arial" w:cs="Arial"/>
        </w:rPr>
        <w:t xml:space="preserve">weniger </w:t>
      </w:r>
      <w:r w:rsidRPr="00CE254A">
        <w:rPr>
          <w:rFonts w:ascii="Arial" w:hAnsi="Arial" w:cs="Arial"/>
        </w:rPr>
        <w:t xml:space="preserve">stark ausfallen </w:t>
      </w:r>
      <w:r w:rsidR="00844BB9">
        <w:rPr>
          <w:rFonts w:ascii="Arial" w:hAnsi="Arial" w:cs="Arial"/>
        </w:rPr>
        <w:t xml:space="preserve">als </w:t>
      </w:r>
      <w:r w:rsidR="00AD6070" w:rsidRPr="00CE254A">
        <w:rPr>
          <w:rFonts w:ascii="Arial" w:hAnsi="Arial" w:cs="Arial"/>
        </w:rPr>
        <w:t>im ersten Quartal, das</w:t>
      </w:r>
      <w:r w:rsidRPr="00CE254A">
        <w:rPr>
          <w:rFonts w:ascii="Arial" w:hAnsi="Arial" w:cs="Arial"/>
        </w:rPr>
        <w:t xml:space="preserve"> von größe</w:t>
      </w:r>
      <w:r w:rsidR="00E839B7">
        <w:rPr>
          <w:rFonts w:ascii="Arial" w:hAnsi="Arial" w:cs="Arial"/>
        </w:rPr>
        <w:softHyphen/>
      </w:r>
      <w:r w:rsidRPr="00CE254A">
        <w:rPr>
          <w:rFonts w:ascii="Arial" w:hAnsi="Arial" w:cs="Arial"/>
        </w:rPr>
        <w:t>ren Projektaufträgen gepräg</w:t>
      </w:r>
      <w:r w:rsidR="00AD6070" w:rsidRPr="00CE254A">
        <w:rPr>
          <w:rFonts w:ascii="Arial" w:hAnsi="Arial" w:cs="Arial"/>
        </w:rPr>
        <w:t>t war</w:t>
      </w:r>
      <w:r w:rsidRPr="00CE254A">
        <w:rPr>
          <w:rFonts w:ascii="Arial" w:hAnsi="Arial" w:cs="Arial"/>
        </w:rPr>
        <w:t xml:space="preserve">. Beim Umsatz wollen wir ein annähernd gleichhohes Niveau wie 2016 erreichen. </w:t>
      </w:r>
    </w:p>
    <w:p w:rsidR="00996707" w:rsidRPr="00CE254A" w:rsidRDefault="00996707" w:rsidP="004E666B">
      <w:pPr>
        <w:spacing w:line="360" w:lineRule="auto"/>
        <w:ind w:right="74"/>
        <w:jc w:val="both"/>
        <w:rPr>
          <w:rFonts w:ascii="Arial" w:hAnsi="Arial" w:cs="Arial"/>
        </w:rPr>
      </w:pPr>
    </w:p>
    <w:p w:rsidR="008121F2" w:rsidRPr="00CE254A" w:rsidRDefault="004E666B" w:rsidP="004E666B">
      <w:pPr>
        <w:spacing w:line="360" w:lineRule="auto"/>
        <w:ind w:right="74"/>
        <w:jc w:val="both"/>
        <w:rPr>
          <w:rFonts w:ascii="Arial" w:hAnsi="Arial" w:cs="Arial"/>
        </w:rPr>
      </w:pPr>
      <w:r w:rsidRPr="00CE254A">
        <w:rPr>
          <w:rFonts w:ascii="Arial" w:hAnsi="Arial" w:cs="Arial"/>
        </w:rPr>
        <w:t>Das Ergebnis vor Ertragsteuern wird sich erheblich verbessern, im Wesentlichen als Folge der positiven Effekte, die wir mit unserem Effizienzsteigerungsprogramm erzie</w:t>
      </w:r>
      <w:r w:rsidR="00E839B7">
        <w:rPr>
          <w:rFonts w:ascii="Arial" w:hAnsi="Arial" w:cs="Arial"/>
        </w:rPr>
        <w:softHyphen/>
      </w:r>
      <w:r w:rsidRPr="00CE254A">
        <w:rPr>
          <w:rFonts w:ascii="Arial" w:hAnsi="Arial" w:cs="Arial"/>
        </w:rPr>
        <w:t xml:space="preserve">len. </w:t>
      </w:r>
      <w:r w:rsidR="00603E28" w:rsidRPr="00CE254A">
        <w:rPr>
          <w:rFonts w:ascii="Arial" w:hAnsi="Arial" w:cs="Arial"/>
        </w:rPr>
        <w:t>Die bis zum Jahresende er</w:t>
      </w:r>
      <w:r w:rsidR="00AD6070" w:rsidRPr="00CE254A">
        <w:rPr>
          <w:rFonts w:ascii="Arial" w:hAnsi="Arial" w:cs="Arial"/>
        </w:rPr>
        <w:t>warteten</w:t>
      </w:r>
      <w:r w:rsidR="00603E28" w:rsidRPr="00CE254A">
        <w:rPr>
          <w:rFonts w:ascii="Arial" w:hAnsi="Arial" w:cs="Arial"/>
        </w:rPr>
        <w:t xml:space="preserve"> Einsparungen werden deutlich über den Einmalkosten</w:t>
      </w:r>
      <w:r w:rsidR="005B3F9A">
        <w:rPr>
          <w:rFonts w:ascii="Arial" w:hAnsi="Arial" w:cs="Arial"/>
        </w:rPr>
        <w:t xml:space="preserve"> dieses Programms</w:t>
      </w:r>
      <w:r w:rsidR="00603E28" w:rsidRPr="00CE254A">
        <w:rPr>
          <w:rFonts w:ascii="Arial" w:hAnsi="Arial" w:cs="Arial"/>
        </w:rPr>
        <w:t xml:space="preserve"> liegen</w:t>
      </w:r>
      <w:r w:rsidR="00E86129" w:rsidRPr="00CE254A">
        <w:rPr>
          <w:rFonts w:ascii="Arial" w:hAnsi="Arial" w:cs="Arial"/>
        </w:rPr>
        <w:t xml:space="preserve">. </w:t>
      </w:r>
    </w:p>
    <w:p w:rsidR="008121F2" w:rsidRPr="00CE254A" w:rsidRDefault="008121F2" w:rsidP="004E666B">
      <w:pPr>
        <w:spacing w:line="360" w:lineRule="auto"/>
        <w:ind w:right="74"/>
        <w:jc w:val="both"/>
        <w:rPr>
          <w:rFonts w:ascii="Arial" w:hAnsi="Arial" w:cs="Arial"/>
        </w:rPr>
      </w:pPr>
    </w:p>
    <w:p w:rsidR="008121F2" w:rsidRPr="00CE254A" w:rsidRDefault="008121F2" w:rsidP="004E666B">
      <w:pPr>
        <w:spacing w:line="360" w:lineRule="auto"/>
        <w:ind w:right="74"/>
        <w:jc w:val="both"/>
        <w:rPr>
          <w:rFonts w:ascii="Arial" w:hAnsi="Arial" w:cs="Arial"/>
          <w:bCs/>
        </w:rPr>
      </w:pPr>
      <w:r w:rsidRPr="00CE254A">
        <w:rPr>
          <w:rFonts w:ascii="Arial" w:hAnsi="Arial" w:cs="Arial"/>
          <w:bCs/>
        </w:rPr>
        <w:t xml:space="preserve">Die im Geschäftsbericht 2016 dargestellten </w:t>
      </w:r>
      <w:r w:rsidR="00AA662C" w:rsidRPr="00CE254A">
        <w:rPr>
          <w:rFonts w:ascii="Arial" w:hAnsi="Arial" w:cs="Arial"/>
          <w:bCs/>
        </w:rPr>
        <w:t xml:space="preserve">operativen </w:t>
      </w:r>
      <w:r w:rsidRPr="00CE254A">
        <w:rPr>
          <w:rFonts w:ascii="Arial" w:hAnsi="Arial" w:cs="Arial"/>
          <w:bCs/>
        </w:rPr>
        <w:t xml:space="preserve">Chancen und Risiken haben sich im ersten Quartal nicht wesentlich verändert. </w:t>
      </w:r>
      <w:r w:rsidR="005B3F9A">
        <w:rPr>
          <w:rFonts w:ascii="Arial" w:hAnsi="Arial" w:cs="Arial"/>
          <w:bCs/>
        </w:rPr>
        <w:t>B</w:t>
      </w:r>
      <w:r w:rsidR="005B3F9A" w:rsidRPr="00CE254A">
        <w:rPr>
          <w:rFonts w:ascii="Arial" w:hAnsi="Arial" w:cs="Arial"/>
          <w:bCs/>
        </w:rPr>
        <w:t>ei der Erstellung des Gesc</w:t>
      </w:r>
      <w:r w:rsidR="005B3F9A" w:rsidRPr="00D8251E">
        <w:rPr>
          <w:rFonts w:ascii="Arial" w:hAnsi="Arial" w:cs="Arial"/>
          <w:bCs/>
        </w:rPr>
        <w:t>häfts</w:t>
      </w:r>
      <w:r w:rsidR="00E839B7">
        <w:rPr>
          <w:rFonts w:ascii="Arial" w:hAnsi="Arial" w:cs="Arial"/>
          <w:bCs/>
        </w:rPr>
        <w:softHyphen/>
      </w:r>
      <w:r w:rsidR="005B3F9A" w:rsidRPr="00D8251E">
        <w:rPr>
          <w:rFonts w:ascii="Arial" w:hAnsi="Arial" w:cs="Arial"/>
          <w:bCs/>
        </w:rPr>
        <w:t>berichts</w:t>
      </w:r>
      <w:r w:rsidR="005B3F9A" w:rsidRPr="00CE254A">
        <w:rPr>
          <w:rFonts w:ascii="Arial" w:hAnsi="Arial" w:cs="Arial"/>
          <w:bCs/>
        </w:rPr>
        <w:t xml:space="preserve"> waren wir </w:t>
      </w:r>
      <w:r w:rsidR="005B3F9A">
        <w:rPr>
          <w:rFonts w:ascii="Arial" w:hAnsi="Arial" w:cs="Arial"/>
          <w:bCs/>
        </w:rPr>
        <w:t xml:space="preserve">von </w:t>
      </w:r>
      <w:r w:rsidR="00463388">
        <w:rPr>
          <w:rFonts w:ascii="Arial" w:hAnsi="Arial" w:cs="Arial"/>
          <w:bCs/>
        </w:rPr>
        <w:t>Eventualschulden</w:t>
      </w:r>
      <w:r w:rsidR="005B3F9A" w:rsidRPr="00CE254A">
        <w:rPr>
          <w:rFonts w:ascii="Arial" w:hAnsi="Arial" w:cs="Arial"/>
          <w:bCs/>
        </w:rPr>
        <w:t xml:space="preserve"> aus Steuersachverhalten </w:t>
      </w:r>
      <w:r w:rsidR="005B3F9A">
        <w:rPr>
          <w:rFonts w:ascii="Arial" w:hAnsi="Arial" w:cs="Arial"/>
          <w:bCs/>
        </w:rPr>
        <w:t xml:space="preserve">in Höhe von </w:t>
      </w:r>
      <w:r w:rsidR="005B3F9A" w:rsidRPr="00CE254A">
        <w:rPr>
          <w:rFonts w:ascii="Arial" w:hAnsi="Arial" w:cs="Arial"/>
          <w:bCs/>
        </w:rPr>
        <w:t xml:space="preserve">7,4 Mio. € </w:t>
      </w:r>
      <w:r w:rsidR="005B3F9A">
        <w:rPr>
          <w:rFonts w:ascii="Arial" w:hAnsi="Arial" w:cs="Arial"/>
          <w:bCs/>
        </w:rPr>
        <w:t>(</w:t>
      </w:r>
      <w:r w:rsidR="005B3F9A" w:rsidRPr="00CE254A">
        <w:rPr>
          <w:rFonts w:ascii="Arial" w:hAnsi="Arial" w:cs="Arial"/>
          <w:bCs/>
        </w:rPr>
        <w:t>zuzüglich Zinsen</w:t>
      </w:r>
      <w:r w:rsidR="005B3F9A">
        <w:rPr>
          <w:rFonts w:ascii="Arial" w:hAnsi="Arial" w:cs="Arial"/>
          <w:bCs/>
        </w:rPr>
        <w:t>)</w:t>
      </w:r>
      <w:r w:rsidR="005B3F9A" w:rsidRPr="00CE254A">
        <w:rPr>
          <w:rFonts w:ascii="Arial" w:hAnsi="Arial" w:cs="Arial"/>
          <w:bCs/>
        </w:rPr>
        <w:t xml:space="preserve"> ausgegangen</w:t>
      </w:r>
      <w:r w:rsidR="005B3F9A">
        <w:rPr>
          <w:rFonts w:ascii="Arial" w:hAnsi="Arial" w:cs="Arial"/>
          <w:bCs/>
        </w:rPr>
        <w:t>.</w:t>
      </w:r>
      <w:r w:rsidRPr="00CE254A">
        <w:rPr>
          <w:rFonts w:ascii="Arial" w:hAnsi="Arial" w:cs="Arial"/>
          <w:bCs/>
        </w:rPr>
        <w:t xml:space="preserve"> </w:t>
      </w:r>
      <w:r w:rsidR="005B3F9A">
        <w:rPr>
          <w:rFonts w:ascii="Arial" w:hAnsi="Arial" w:cs="Arial"/>
          <w:bCs/>
        </w:rPr>
        <w:t xml:space="preserve">Nach aktuellem Kenntnisstand </w:t>
      </w:r>
      <w:r w:rsidR="00285E5D">
        <w:rPr>
          <w:rFonts w:ascii="Arial" w:hAnsi="Arial" w:cs="Arial"/>
          <w:bCs/>
        </w:rPr>
        <w:t xml:space="preserve">könnten </w:t>
      </w:r>
      <w:r w:rsidR="005B3F9A">
        <w:rPr>
          <w:rFonts w:ascii="Arial" w:hAnsi="Arial" w:cs="Arial"/>
          <w:bCs/>
        </w:rPr>
        <w:t xml:space="preserve">sich </w:t>
      </w:r>
      <w:r w:rsidR="00F24552">
        <w:rPr>
          <w:rFonts w:ascii="Arial" w:hAnsi="Arial" w:cs="Arial"/>
          <w:bCs/>
        </w:rPr>
        <w:t xml:space="preserve">diese </w:t>
      </w:r>
      <w:r w:rsidR="005B3F9A">
        <w:rPr>
          <w:rFonts w:ascii="Arial" w:hAnsi="Arial" w:cs="Arial"/>
          <w:bCs/>
        </w:rPr>
        <w:t xml:space="preserve">auf bis zu </w:t>
      </w:r>
      <w:r w:rsidR="00E9774F">
        <w:rPr>
          <w:rFonts w:ascii="Arial" w:hAnsi="Arial" w:cs="Arial"/>
          <w:bCs/>
        </w:rPr>
        <w:t>9,3</w:t>
      </w:r>
      <w:r w:rsidR="005B3F9A">
        <w:rPr>
          <w:rFonts w:ascii="Arial" w:hAnsi="Arial" w:cs="Arial"/>
          <w:bCs/>
        </w:rPr>
        <w:t xml:space="preserve"> Mio.</w:t>
      </w:r>
      <w:r w:rsidR="00463388">
        <w:rPr>
          <w:rFonts w:ascii="Arial" w:hAnsi="Arial" w:cs="Arial"/>
          <w:bCs/>
        </w:rPr>
        <w:t xml:space="preserve"> € </w:t>
      </w:r>
      <w:r w:rsidR="005B3F9A">
        <w:rPr>
          <w:rFonts w:ascii="Arial" w:hAnsi="Arial" w:cs="Arial"/>
          <w:bCs/>
        </w:rPr>
        <w:t>(zuzüglich Zinsen</w:t>
      </w:r>
      <w:r w:rsidR="00463388">
        <w:rPr>
          <w:rFonts w:ascii="Arial" w:hAnsi="Arial" w:cs="Arial"/>
          <w:bCs/>
        </w:rPr>
        <w:t xml:space="preserve"> in Höhe von 2,5 Mio. €</w:t>
      </w:r>
      <w:r w:rsidR="005B3F9A">
        <w:rPr>
          <w:rFonts w:ascii="Arial" w:hAnsi="Arial" w:cs="Arial"/>
          <w:bCs/>
        </w:rPr>
        <w:t>) belaufen.</w:t>
      </w:r>
    </w:p>
    <w:p w:rsidR="008121F2" w:rsidRPr="00CE254A" w:rsidRDefault="008121F2" w:rsidP="00DD7339">
      <w:pPr>
        <w:spacing w:line="360" w:lineRule="auto"/>
        <w:ind w:right="74"/>
        <w:jc w:val="both"/>
        <w:rPr>
          <w:rFonts w:ascii="Arial" w:hAnsi="Arial" w:cs="Arial"/>
          <w:bCs/>
        </w:rPr>
      </w:pPr>
    </w:p>
    <w:p w:rsidR="00DD7339" w:rsidRPr="00CE254A" w:rsidRDefault="00DD7339" w:rsidP="00DD7339">
      <w:pPr>
        <w:spacing w:line="360" w:lineRule="auto"/>
        <w:ind w:right="74"/>
        <w:jc w:val="both"/>
      </w:pPr>
      <w:r w:rsidRPr="00CE254A">
        <w:rPr>
          <w:rFonts w:ascii="Arial" w:hAnsi="Arial" w:cs="Arial"/>
          <w:bCs/>
        </w:rPr>
        <w:t>Bei der Nettofinanzposition rechnen wir zum Jahresende mit einem Wert in Höhe von ca. 240 bis 260 Mio.</w:t>
      </w:r>
      <w:r w:rsidR="00FF736F" w:rsidRPr="00CE254A">
        <w:rPr>
          <w:rFonts w:ascii="Arial" w:hAnsi="Arial" w:cs="Arial"/>
          <w:bCs/>
        </w:rPr>
        <w:t xml:space="preserve"> </w:t>
      </w:r>
      <w:r w:rsidRPr="00CE254A">
        <w:t>€.</w:t>
      </w:r>
    </w:p>
    <w:p w:rsidR="004E666B" w:rsidRPr="00CE254A" w:rsidRDefault="004E666B" w:rsidP="004E666B">
      <w:pPr>
        <w:spacing w:line="360" w:lineRule="auto"/>
        <w:ind w:right="74"/>
        <w:jc w:val="both"/>
        <w:rPr>
          <w:rFonts w:ascii="Arial" w:hAnsi="Arial" w:cs="Arial"/>
        </w:rPr>
      </w:pPr>
    </w:p>
    <w:p w:rsidR="00750C35" w:rsidRPr="00CE254A" w:rsidRDefault="00750C35" w:rsidP="00E9774F">
      <w:pPr>
        <w:spacing w:line="360" w:lineRule="auto"/>
        <w:ind w:right="74"/>
        <w:jc w:val="both"/>
        <w:rPr>
          <w:rFonts w:ascii="Arial" w:hAnsi="Arial" w:cs="Arial"/>
          <w:sz w:val="20"/>
          <w:szCs w:val="20"/>
        </w:rPr>
      </w:pPr>
    </w:p>
    <w:sectPr w:rsidR="00750C35" w:rsidRPr="00CE254A" w:rsidSect="00677219">
      <w:footerReference w:type="default" r:id="rId8"/>
      <w:pgSz w:w="11906" w:h="16838" w:code="9"/>
      <w:pgMar w:top="1701" w:right="1418" w:bottom="1701" w:left="1418" w:header="851"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6184" w:rsidRDefault="004C6184">
      <w:r>
        <w:separator/>
      </w:r>
    </w:p>
  </w:endnote>
  <w:endnote w:type="continuationSeparator" w:id="0">
    <w:p w:rsidR="004C6184" w:rsidRDefault="004C61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4A4D" w:rsidRPr="00F14E1D" w:rsidRDefault="00C54A4D" w:rsidP="003458DB">
    <w:pPr>
      <w:pStyle w:val="Fuzeile"/>
    </w:pPr>
  </w:p>
  <w:p w:rsidR="00C54A4D" w:rsidRPr="00F14E1D" w:rsidRDefault="0028507C" w:rsidP="008B5855">
    <w:pPr>
      <w:pStyle w:val="Fuzeile"/>
    </w:pPr>
    <w:r>
      <w:rPr>
        <w:noProof/>
      </w:rPr>
      <w:drawing>
        <wp:inline distT="0" distB="0" distL="0" distR="0">
          <wp:extent cx="5863590" cy="342900"/>
          <wp:effectExtent l="0" t="0" r="381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Z_1001_FO_FT_vorstand_170327.jpg"/>
                  <pic:cNvPicPr/>
                </pic:nvPicPr>
                <pic:blipFill>
                  <a:blip r:embed="rId1">
                    <a:extLst>
                      <a:ext uri="{28A0092B-C50C-407E-A947-70E740481C1C}">
                        <a14:useLocalDpi xmlns:a14="http://schemas.microsoft.com/office/drawing/2010/main" val="0"/>
                      </a:ext>
                    </a:extLst>
                  </a:blip>
                  <a:stretch>
                    <a:fillRect/>
                  </a:stretch>
                </pic:blipFill>
                <pic:spPr>
                  <a:xfrm>
                    <a:off x="0" y="0"/>
                    <a:ext cx="5868361" cy="343179"/>
                  </a:xfrm>
                  <a:prstGeom prst="rect">
                    <a:avLst/>
                  </a:prstGeom>
                </pic:spPr>
              </pic:pic>
            </a:graphicData>
          </a:graphic>
        </wp:inline>
      </w:drawing>
    </w:r>
  </w:p>
  <w:p w:rsidR="00C54A4D" w:rsidRDefault="00C54A4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6184" w:rsidRDefault="004C6184">
      <w:r>
        <w:separator/>
      </w:r>
    </w:p>
  </w:footnote>
  <w:footnote w:type="continuationSeparator" w:id="0">
    <w:p w:rsidR="004C6184" w:rsidRDefault="004C61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F874564"/>
    <w:multiLevelType w:val="hybridMultilevel"/>
    <w:tmpl w:val="CC380008"/>
    <w:lvl w:ilvl="0" w:tplc="C3ECAF90">
      <w:start w:val="10"/>
      <w:numFmt w:val="bullet"/>
      <w:lvlText w:val="-"/>
      <w:lvlJc w:val="left"/>
      <w:pPr>
        <w:ind w:left="885" w:hanging="360"/>
      </w:pPr>
      <w:rPr>
        <w:rFonts w:ascii="Arial" w:eastAsia="Times New Roman" w:hAnsi="Arial" w:cs="Arial" w:hint="default"/>
      </w:rPr>
    </w:lvl>
    <w:lvl w:ilvl="1" w:tplc="04090003" w:tentative="1">
      <w:start w:val="1"/>
      <w:numFmt w:val="bullet"/>
      <w:lvlText w:val="o"/>
      <w:lvlJc w:val="left"/>
      <w:pPr>
        <w:ind w:left="1605" w:hanging="360"/>
      </w:pPr>
      <w:rPr>
        <w:rFonts w:ascii="Courier New" w:hAnsi="Courier New" w:cs="Courier New"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cs="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cs="Courier New" w:hint="default"/>
      </w:rPr>
    </w:lvl>
    <w:lvl w:ilvl="8" w:tplc="04090005" w:tentative="1">
      <w:start w:val="1"/>
      <w:numFmt w:val="bullet"/>
      <w:lvlText w:val=""/>
      <w:lvlJc w:val="left"/>
      <w:pPr>
        <w:ind w:left="664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680"/>
    <w:rsid w:val="00000947"/>
    <w:rsid w:val="00006318"/>
    <w:rsid w:val="00010BE9"/>
    <w:rsid w:val="00013465"/>
    <w:rsid w:val="00013DF6"/>
    <w:rsid w:val="0001759A"/>
    <w:rsid w:val="00025DB6"/>
    <w:rsid w:val="00041CB0"/>
    <w:rsid w:val="00044DFE"/>
    <w:rsid w:val="000506B9"/>
    <w:rsid w:val="00051585"/>
    <w:rsid w:val="000635ED"/>
    <w:rsid w:val="00087989"/>
    <w:rsid w:val="000C239D"/>
    <w:rsid w:val="000C4AE2"/>
    <w:rsid w:val="000C7810"/>
    <w:rsid w:val="000D2A70"/>
    <w:rsid w:val="000D2BFA"/>
    <w:rsid w:val="000D46E8"/>
    <w:rsid w:val="000D65DE"/>
    <w:rsid w:val="000E25B9"/>
    <w:rsid w:val="000E419E"/>
    <w:rsid w:val="000E6E66"/>
    <w:rsid w:val="0010433D"/>
    <w:rsid w:val="00106370"/>
    <w:rsid w:val="00106771"/>
    <w:rsid w:val="0011076B"/>
    <w:rsid w:val="00114AEB"/>
    <w:rsid w:val="00114EC6"/>
    <w:rsid w:val="0011553C"/>
    <w:rsid w:val="00117ED7"/>
    <w:rsid w:val="001352F3"/>
    <w:rsid w:val="00142692"/>
    <w:rsid w:val="0014289F"/>
    <w:rsid w:val="00163B21"/>
    <w:rsid w:val="0016464A"/>
    <w:rsid w:val="00164969"/>
    <w:rsid w:val="00166840"/>
    <w:rsid w:val="00170F24"/>
    <w:rsid w:val="00171A4B"/>
    <w:rsid w:val="00182AC3"/>
    <w:rsid w:val="00183084"/>
    <w:rsid w:val="00190043"/>
    <w:rsid w:val="00192413"/>
    <w:rsid w:val="00197B21"/>
    <w:rsid w:val="00197E4A"/>
    <w:rsid w:val="001B1362"/>
    <w:rsid w:val="001B61D4"/>
    <w:rsid w:val="001D2175"/>
    <w:rsid w:val="001D2983"/>
    <w:rsid w:val="001F1330"/>
    <w:rsid w:val="001F54CB"/>
    <w:rsid w:val="00204709"/>
    <w:rsid w:val="002141CD"/>
    <w:rsid w:val="00216622"/>
    <w:rsid w:val="0024150E"/>
    <w:rsid w:val="00241974"/>
    <w:rsid w:val="00244533"/>
    <w:rsid w:val="00261545"/>
    <w:rsid w:val="0028507C"/>
    <w:rsid w:val="00285E5D"/>
    <w:rsid w:val="0029485B"/>
    <w:rsid w:val="002A33F4"/>
    <w:rsid w:val="002B446D"/>
    <w:rsid w:val="002B6B03"/>
    <w:rsid w:val="002D10A7"/>
    <w:rsid w:val="002D402D"/>
    <w:rsid w:val="002D5882"/>
    <w:rsid w:val="00304DD6"/>
    <w:rsid w:val="003127FF"/>
    <w:rsid w:val="003379D2"/>
    <w:rsid w:val="003458DB"/>
    <w:rsid w:val="00345C22"/>
    <w:rsid w:val="00347753"/>
    <w:rsid w:val="003576F5"/>
    <w:rsid w:val="00360F22"/>
    <w:rsid w:val="003640F5"/>
    <w:rsid w:val="00370405"/>
    <w:rsid w:val="003718B0"/>
    <w:rsid w:val="003819CC"/>
    <w:rsid w:val="00396336"/>
    <w:rsid w:val="00397293"/>
    <w:rsid w:val="003A3A42"/>
    <w:rsid w:val="003B29F8"/>
    <w:rsid w:val="003C668D"/>
    <w:rsid w:val="003D1227"/>
    <w:rsid w:val="003D1B15"/>
    <w:rsid w:val="003F0ABC"/>
    <w:rsid w:val="003F11D9"/>
    <w:rsid w:val="003F1254"/>
    <w:rsid w:val="003F3A50"/>
    <w:rsid w:val="003F4A7A"/>
    <w:rsid w:val="003F6465"/>
    <w:rsid w:val="00401D93"/>
    <w:rsid w:val="0040333C"/>
    <w:rsid w:val="0040380C"/>
    <w:rsid w:val="00406619"/>
    <w:rsid w:val="00416201"/>
    <w:rsid w:val="00420DF7"/>
    <w:rsid w:val="0043085F"/>
    <w:rsid w:val="004313E6"/>
    <w:rsid w:val="00446F94"/>
    <w:rsid w:val="004523A4"/>
    <w:rsid w:val="004526C3"/>
    <w:rsid w:val="00455215"/>
    <w:rsid w:val="00460380"/>
    <w:rsid w:val="00461B90"/>
    <w:rsid w:val="00463388"/>
    <w:rsid w:val="00465BE9"/>
    <w:rsid w:val="00466D57"/>
    <w:rsid w:val="00480292"/>
    <w:rsid w:val="00486330"/>
    <w:rsid w:val="00490FAE"/>
    <w:rsid w:val="0049531F"/>
    <w:rsid w:val="004A38AA"/>
    <w:rsid w:val="004C0EA1"/>
    <w:rsid w:val="004C3755"/>
    <w:rsid w:val="004C6184"/>
    <w:rsid w:val="004D2025"/>
    <w:rsid w:val="004E5664"/>
    <w:rsid w:val="004E666B"/>
    <w:rsid w:val="004F23EA"/>
    <w:rsid w:val="005002B2"/>
    <w:rsid w:val="00500529"/>
    <w:rsid w:val="00515DA5"/>
    <w:rsid w:val="00525F95"/>
    <w:rsid w:val="005337C0"/>
    <w:rsid w:val="00536FA6"/>
    <w:rsid w:val="00541CD1"/>
    <w:rsid w:val="005453C7"/>
    <w:rsid w:val="00565C55"/>
    <w:rsid w:val="00585DE0"/>
    <w:rsid w:val="005A14A8"/>
    <w:rsid w:val="005A5715"/>
    <w:rsid w:val="005B3F9A"/>
    <w:rsid w:val="005C435B"/>
    <w:rsid w:val="005D074A"/>
    <w:rsid w:val="005E0F33"/>
    <w:rsid w:val="005F268C"/>
    <w:rsid w:val="005F65F4"/>
    <w:rsid w:val="00603BDD"/>
    <w:rsid w:val="00603E28"/>
    <w:rsid w:val="00641FD8"/>
    <w:rsid w:val="00651A8E"/>
    <w:rsid w:val="0065564A"/>
    <w:rsid w:val="0065622D"/>
    <w:rsid w:val="00657BFF"/>
    <w:rsid w:val="00670BEA"/>
    <w:rsid w:val="00672C47"/>
    <w:rsid w:val="00677219"/>
    <w:rsid w:val="00680D72"/>
    <w:rsid w:val="006A20AA"/>
    <w:rsid w:val="006A47C1"/>
    <w:rsid w:val="006A7651"/>
    <w:rsid w:val="006B060D"/>
    <w:rsid w:val="006B24FC"/>
    <w:rsid w:val="006C07FD"/>
    <w:rsid w:val="006C5779"/>
    <w:rsid w:val="006C5B81"/>
    <w:rsid w:val="006D56B9"/>
    <w:rsid w:val="006E2572"/>
    <w:rsid w:val="006F284B"/>
    <w:rsid w:val="007000BA"/>
    <w:rsid w:val="00714539"/>
    <w:rsid w:val="00714EA8"/>
    <w:rsid w:val="0071521E"/>
    <w:rsid w:val="0072605E"/>
    <w:rsid w:val="00727D7E"/>
    <w:rsid w:val="007320CB"/>
    <w:rsid w:val="00734125"/>
    <w:rsid w:val="007343ED"/>
    <w:rsid w:val="00750C35"/>
    <w:rsid w:val="007562FD"/>
    <w:rsid w:val="00761086"/>
    <w:rsid w:val="007705F3"/>
    <w:rsid w:val="00776656"/>
    <w:rsid w:val="00780675"/>
    <w:rsid w:val="00783235"/>
    <w:rsid w:val="007863E5"/>
    <w:rsid w:val="00793AF6"/>
    <w:rsid w:val="007A5C60"/>
    <w:rsid w:val="007C3771"/>
    <w:rsid w:val="007D37F1"/>
    <w:rsid w:val="007D39FB"/>
    <w:rsid w:val="007F3850"/>
    <w:rsid w:val="007F7FFC"/>
    <w:rsid w:val="00801145"/>
    <w:rsid w:val="00810E28"/>
    <w:rsid w:val="008121F2"/>
    <w:rsid w:val="00813044"/>
    <w:rsid w:val="00813777"/>
    <w:rsid w:val="0081704D"/>
    <w:rsid w:val="0081725D"/>
    <w:rsid w:val="00830726"/>
    <w:rsid w:val="0083287F"/>
    <w:rsid w:val="00835C4E"/>
    <w:rsid w:val="00835D00"/>
    <w:rsid w:val="00841F06"/>
    <w:rsid w:val="00842A96"/>
    <w:rsid w:val="00844BB9"/>
    <w:rsid w:val="008479FD"/>
    <w:rsid w:val="0085052D"/>
    <w:rsid w:val="00855184"/>
    <w:rsid w:val="00855902"/>
    <w:rsid w:val="00857AB2"/>
    <w:rsid w:val="00880FE6"/>
    <w:rsid w:val="00881249"/>
    <w:rsid w:val="008B5855"/>
    <w:rsid w:val="008B6D7E"/>
    <w:rsid w:val="008B7817"/>
    <w:rsid w:val="008B7A5B"/>
    <w:rsid w:val="008C5FED"/>
    <w:rsid w:val="008D5D37"/>
    <w:rsid w:val="008D7683"/>
    <w:rsid w:val="008E0E8B"/>
    <w:rsid w:val="008E0FA3"/>
    <w:rsid w:val="008E1C6A"/>
    <w:rsid w:val="008E4036"/>
    <w:rsid w:val="008E483D"/>
    <w:rsid w:val="00902F42"/>
    <w:rsid w:val="00921F24"/>
    <w:rsid w:val="0092473A"/>
    <w:rsid w:val="00931638"/>
    <w:rsid w:val="00941A92"/>
    <w:rsid w:val="009438EA"/>
    <w:rsid w:val="00953408"/>
    <w:rsid w:val="0096375F"/>
    <w:rsid w:val="0097015C"/>
    <w:rsid w:val="00970ADF"/>
    <w:rsid w:val="00976B6B"/>
    <w:rsid w:val="00982E6C"/>
    <w:rsid w:val="00987A1B"/>
    <w:rsid w:val="00996707"/>
    <w:rsid w:val="009A31F2"/>
    <w:rsid w:val="009A3551"/>
    <w:rsid w:val="009A7CC3"/>
    <w:rsid w:val="009B06FC"/>
    <w:rsid w:val="009B6B8D"/>
    <w:rsid w:val="009C53D9"/>
    <w:rsid w:val="009C5CFB"/>
    <w:rsid w:val="009C6D63"/>
    <w:rsid w:val="009D0791"/>
    <w:rsid w:val="009E1598"/>
    <w:rsid w:val="009F7131"/>
    <w:rsid w:val="00A002E8"/>
    <w:rsid w:val="00A12680"/>
    <w:rsid w:val="00A2008B"/>
    <w:rsid w:val="00A236BE"/>
    <w:rsid w:val="00A26919"/>
    <w:rsid w:val="00A31FFB"/>
    <w:rsid w:val="00A32DAF"/>
    <w:rsid w:val="00A364E8"/>
    <w:rsid w:val="00A417BF"/>
    <w:rsid w:val="00A44C7E"/>
    <w:rsid w:val="00A54DAA"/>
    <w:rsid w:val="00A67929"/>
    <w:rsid w:val="00A6798C"/>
    <w:rsid w:val="00A70045"/>
    <w:rsid w:val="00A84126"/>
    <w:rsid w:val="00A84F86"/>
    <w:rsid w:val="00AA2A18"/>
    <w:rsid w:val="00AA662C"/>
    <w:rsid w:val="00AB1018"/>
    <w:rsid w:val="00AB3A7E"/>
    <w:rsid w:val="00AC43C8"/>
    <w:rsid w:val="00AC7B34"/>
    <w:rsid w:val="00AD1CE6"/>
    <w:rsid w:val="00AD6070"/>
    <w:rsid w:val="00AF33C0"/>
    <w:rsid w:val="00B0032B"/>
    <w:rsid w:val="00B00D7F"/>
    <w:rsid w:val="00B17859"/>
    <w:rsid w:val="00B22C7F"/>
    <w:rsid w:val="00B23D27"/>
    <w:rsid w:val="00B24078"/>
    <w:rsid w:val="00B26133"/>
    <w:rsid w:val="00B45B54"/>
    <w:rsid w:val="00B45E27"/>
    <w:rsid w:val="00B56502"/>
    <w:rsid w:val="00B57171"/>
    <w:rsid w:val="00B64AED"/>
    <w:rsid w:val="00B700FB"/>
    <w:rsid w:val="00B761DE"/>
    <w:rsid w:val="00B77772"/>
    <w:rsid w:val="00B82778"/>
    <w:rsid w:val="00B8456A"/>
    <w:rsid w:val="00B972D7"/>
    <w:rsid w:val="00BA772A"/>
    <w:rsid w:val="00BD6138"/>
    <w:rsid w:val="00BE0DED"/>
    <w:rsid w:val="00BE2542"/>
    <w:rsid w:val="00C0467E"/>
    <w:rsid w:val="00C10AB4"/>
    <w:rsid w:val="00C12D06"/>
    <w:rsid w:val="00C13D50"/>
    <w:rsid w:val="00C15F78"/>
    <w:rsid w:val="00C16390"/>
    <w:rsid w:val="00C2388A"/>
    <w:rsid w:val="00C3116F"/>
    <w:rsid w:val="00C32238"/>
    <w:rsid w:val="00C526E6"/>
    <w:rsid w:val="00C54A4D"/>
    <w:rsid w:val="00C83337"/>
    <w:rsid w:val="00C94D23"/>
    <w:rsid w:val="00CA408B"/>
    <w:rsid w:val="00CA6007"/>
    <w:rsid w:val="00CA7024"/>
    <w:rsid w:val="00CB3AFE"/>
    <w:rsid w:val="00CB726F"/>
    <w:rsid w:val="00CB749B"/>
    <w:rsid w:val="00CC6A6B"/>
    <w:rsid w:val="00CD21B7"/>
    <w:rsid w:val="00CD516F"/>
    <w:rsid w:val="00CE254A"/>
    <w:rsid w:val="00CE527D"/>
    <w:rsid w:val="00CE57D5"/>
    <w:rsid w:val="00CE6F8E"/>
    <w:rsid w:val="00D00B63"/>
    <w:rsid w:val="00D1324C"/>
    <w:rsid w:val="00D14034"/>
    <w:rsid w:val="00D150D4"/>
    <w:rsid w:val="00D35DD5"/>
    <w:rsid w:val="00D51A78"/>
    <w:rsid w:val="00D520FD"/>
    <w:rsid w:val="00D575A5"/>
    <w:rsid w:val="00D604C3"/>
    <w:rsid w:val="00D66A70"/>
    <w:rsid w:val="00D73568"/>
    <w:rsid w:val="00D75C68"/>
    <w:rsid w:val="00D76DD9"/>
    <w:rsid w:val="00D76E27"/>
    <w:rsid w:val="00D8251E"/>
    <w:rsid w:val="00D837CD"/>
    <w:rsid w:val="00D8514A"/>
    <w:rsid w:val="00D935D2"/>
    <w:rsid w:val="00DA7B28"/>
    <w:rsid w:val="00DB17C7"/>
    <w:rsid w:val="00DB21D8"/>
    <w:rsid w:val="00DC6871"/>
    <w:rsid w:val="00DD7339"/>
    <w:rsid w:val="00DE2D12"/>
    <w:rsid w:val="00E01B06"/>
    <w:rsid w:val="00E04EF5"/>
    <w:rsid w:val="00E14574"/>
    <w:rsid w:val="00E20107"/>
    <w:rsid w:val="00E2127B"/>
    <w:rsid w:val="00E254C2"/>
    <w:rsid w:val="00E31133"/>
    <w:rsid w:val="00E359D7"/>
    <w:rsid w:val="00E42A8C"/>
    <w:rsid w:val="00E50B58"/>
    <w:rsid w:val="00E65287"/>
    <w:rsid w:val="00E73B26"/>
    <w:rsid w:val="00E839B7"/>
    <w:rsid w:val="00E84284"/>
    <w:rsid w:val="00E86129"/>
    <w:rsid w:val="00E869D9"/>
    <w:rsid w:val="00E95956"/>
    <w:rsid w:val="00E97040"/>
    <w:rsid w:val="00E9774F"/>
    <w:rsid w:val="00ED337A"/>
    <w:rsid w:val="00EF0202"/>
    <w:rsid w:val="00EF03E1"/>
    <w:rsid w:val="00EF78AD"/>
    <w:rsid w:val="00EF791F"/>
    <w:rsid w:val="00F02717"/>
    <w:rsid w:val="00F065B2"/>
    <w:rsid w:val="00F15612"/>
    <w:rsid w:val="00F17D7F"/>
    <w:rsid w:val="00F24552"/>
    <w:rsid w:val="00F343C4"/>
    <w:rsid w:val="00F3604D"/>
    <w:rsid w:val="00F42512"/>
    <w:rsid w:val="00F618E8"/>
    <w:rsid w:val="00F64944"/>
    <w:rsid w:val="00F75B0F"/>
    <w:rsid w:val="00F83D2B"/>
    <w:rsid w:val="00FB220C"/>
    <w:rsid w:val="00FB3CC9"/>
    <w:rsid w:val="00FC6B07"/>
    <w:rsid w:val="00FC7028"/>
    <w:rsid w:val="00FC7CC6"/>
    <w:rsid w:val="00FE4AA7"/>
    <w:rsid w:val="00FF1D6E"/>
    <w:rsid w:val="00FF73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A3D9B2D-F54F-4869-B888-FA70E55FA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E666B"/>
    <w:rPr>
      <w:sz w:val="24"/>
      <w:szCs w:val="24"/>
      <w:lang w:val="de-DE" w:eastAsia="de-DE"/>
    </w:rPr>
  </w:style>
  <w:style w:type="paragraph" w:styleId="berschrift1">
    <w:name w:val="heading 1"/>
    <w:basedOn w:val="Standard"/>
    <w:next w:val="Standard"/>
    <w:qFormat/>
    <w:rsid w:val="00DE2D12"/>
    <w:pPr>
      <w:keepNext/>
      <w:outlineLvl w:val="0"/>
    </w:pPr>
    <w:rPr>
      <w:rFonts w:ascii="Arial" w:hAnsi="Arial"/>
      <w:b/>
    </w:rPr>
  </w:style>
  <w:style w:type="paragraph" w:styleId="berschrift2">
    <w:name w:val="heading 2"/>
    <w:basedOn w:val="Standard"/>
    <w:next w:val="Standard"/>
    <w:qFormat/>
    <w:rsid w:val="00DE2D12"/>
    <w:pPr>
      <w:keepNext/>
      <w:tabs>
        <w:tab w:val="left" w:pos="1134"/>
      </w:tabs>
      <w:jc w:val="both"/>
      <w:outlineLvl w:val="1"/>
    </w:pPr>
    <w:rPr>
      <w:rFonts w:ascii="Arial" w:hAnsi="Arial"/>
      <w:b/>
    </w:rPr>
  </w:style>
  <w:style w:type="paragraph" w:styleId="berschrift3">
    <w:name w:val="heading 3"/>
    <w:basedOn w:val="Standard"/>
    <w:next w:val="Standard"/>
    <w:link w:val="berschrift3Zchn"/>
    <w:qFormat/>
    <w:rsid w:val="00DE2D12"/>
    <w:pPr>
      <w:keepNext/>
      <w:tabs>
        <w:tab w:val="left" w:pos="1134"/>
      </w:tabs>
      <w:spacing w:line="360" w:lineRule="atLeast"/>
      <w:outlineLvl w:val="2"/>
    </w:pPr>
    <w:rPr>
      <w:rFonts w:ascii="Arial" w:hAnsi="Arial"/>
      <w:b/>
      <w:spacing w:val="-8"/>
      <w:sz w:val="22"/>
    </w:rPr>
  </w:style>
  <w:style w:type="paragraph" w:styleId="berschrift6">
    <w:name w:val="heading 6"/>
    <w:basedOn w:val="Standard"/>
    <w:next w:val="Standard"/>
    <w:qFormat/>
    <w:rsid w:val="00DE2D12"/>
    <w:pPr>
      <w:keepNext/>
      <w:tabs>
        <w:tab w:val="left" w:pos="1134"/>
      </w:tabs>
      <w:spacing w:line="360" w:lineRule="atLeast"/>
      <w:outlineLvl w:val="5"/>
    </w:pPr>
    <w:rPr>
      <w:rFonts w:ascii="Arial" w:hAnsi="Arial"/>
      <w:b/>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2">
    <w:name w:val="Body Text 2"/>
    <w:basedOn w:val="Standard"/>
    <w:rsid w:val="00DE2D12"/>
    <w:pPr>
      <w:spacing w:line="360" w:lineRule="auto"/>
      <w:jc w:val="both"/>
    </w:pPr>
    <w:rPr>
      <w:rFonts w:ascii="Arial" w:hAnsi="Arial"/>
      <w:szCs w:val="20"/>
    </w:rPr>
  </w:style>
  <w:style w:type="paragraph" w:styleId="Funotentext">
    <w:name w:val="footnote text"/>
    <w:basedOn w:val="Standard"/>
    <w:link w:val="FunotentextZchn"/>
    <w:semiHidden/>
    <w:rsid w:val="00DE2D12"/>
    <w:rPr>
      <w:rFonts w:ascii="Arial" w:hAnsi="Arial"/>
      <w:sz w:val="20"/>
      <w:szCs w:val="20"/>
    </w:rPr>
  </w:style>
  <w:style w:type="character" w:styleId="Funotenzeichen">
    <w:name w:val="footnote reference"/>
    <w:basedOn w:val="Absatz-Standardschriftart"/>
    <w:semiHidden/>
    <w:rsid w:val="00DE2D12"/>
    <w:rPr>
      <w:vertAlign w:val="superscript"/>
    </w:rPr>
  </w:style>
  <w:style w:type="character" w:styleId="Fett">
    <w:name w:val="Strong"/>
    <w:basedOn w:val="Absatz-Standardschriftart"/>
    <w:qFormat/>
    <w:rsid w:val="00DE2D12"/>
    <w:rPr>
      <w:b/>
    </w:rPr>
  </w:style>
  <w:style w:type="paragraph" w:styleId="Kopfzeile">
    <w:name w:val="header"/>
    <w:basedOn w:val="Standard"/>
    <w:link w:val="KopfzeileZchn"/>
    <w:uiPriority w:val="99"/>
    <w:rsid w:val="00DE2D12"/>
    <w:pPr>
      <w:tabs>
        <w:tab w:val="center" w:pos="4536"/>
        <w:tab w:val="right" w:pos="9072"/>
      </w:tabs>
    </w:pPr>
    <w:rPr>
      <w:rFonts w:ascii="Arial" w:hAnsi="Arial"/>
      <w:sz w:val="22"/>
    </w:rPr>
  </w:style>
  <w:style w:type="paragraph" w:styleId="Sprechblasentext">
    <w:name w:val="Balloon Text"/>
    <w:basedOn w:val="Standard"/>
    <w:semiHidden/>
    <w:rsid w:val="00835D00"/>
    <w:rPr>
      <w:rFonts w:ascii="Tahoma" w:hAnsi="Tahoma" w:cs="Tahoma"/>
      <w:sz w:val="16"/>
      <w:szCs w:val="16"/>
    </w:rPr>
  </w:style>
  <w:style w:type="paragraph" w:styleId="Textkrper">
    <w:name w:val="Body Text"/>
    <w:basedOn w:val="Standard"/>
    <w:rsid w:val="00465BE9"/>
    <w:pPr>
      <w:spacing w:after="120"/>
    </w:pPr>
  </w:style>
  <w:style w:type="paragraph" w:styleId="Fuzeile">
    <w:name w:val="footer"/>
    <w:basedOn w:val="Standard"/>
    <w:rsid w:val="008C5FED"/>
    <w:pPr>
      <w:tabs>
        <w:tab w:val="center" w:pos="4536"/>
        <w:tab w:val="right" w:pos="9072"/>
      </w:tabs>
    </w:pPr>
  </w:style>
  <w:style w:type="character" w:customStyle="1" w:styleId="KopfzeileZchn">
    <w:name w:val="Kopfzeile Zchn"/>
    <w:basedOn w:val="Absatz-Standardschriftart"/>
    <w:link w:val="Kopfzeile"/>
    <w:uiPriority w:val="99"/>
    <w:rsid w:val="00AF33C0"/>
    <w:rPr>
      <w:rFonts w:ascii="Arial" w:hAnsi="Arial"/>
      <w:sz w:val="22"/>
      <w:szCs w:val="24"/>
      <w:lang w:val="de-DE" w:eastAsia="de-DE"/>
    </w:rPr>
  </w:style>
  <w:style w:type="paragraph" w:styleId="Listenabsatz">
    <w:name w:val="List Paragraph"/>
    <w:basedOn w:val="Standard"/>
    <w:uiPriority w:val="34"/>
    <w:qFormat/>
    <w:rsid w:val="00AF33C0"/>
    <w:pPr>
      <w:ind w:left="720"/>
      <w:contextualSpacing/>
    </w:pPr>
    <w:rPr>
      <w:lang w:eastAsia="en-US"/>
    </w:rPr>
  </w:style>
  <w:style w:type="character" w:customStyle="1" w:styleId="berschrift3Zchn">
    <w:name w:val="Überschrift 3 Zchn"/>
    <w:basedOn w:val="Absatz-Standardschriftart"/>
    <w:link w:val="berschrift3"/>
    <w:rsid w:val="004E666B"/>
    <w:rPr>
      <w:rFonts w:ascii="Arial" w:hAnsi="Arial"/>
      <w:b/>
      <w:spacing w:val="-8"/>
      <w:sz w:val="22"/>
      <w:szCs w:val="24"/>
      <w:lang w:val="de-DE" w:eastAsia="de-DE"/>
    </w:rPr>
  </w:style>
  <w:style w:type="character" w:customStyle="1" w:styleId="FunotentextZchn">
    <w:name w:val="Fußnotentext Zchn"/>
    <w:basedOn w:val="Absatz-Standardschriftart"/>
    <w:link w:val="Funotentext"/>
    <w:semiHidden/>
    <w:rsid w:val="004E666B"/>
    <w:rPr>
      <w:rFonts w:ascii="Arial" w:hAnsi="Arial"/>
      <w:lang w:val="de-DE" w:eastAsia="de-DE"/>
    </w:rPr>
  </w:style>
  <w:style w:type="paragraph" w:styleId="Endnotentext">
    <w:name w:val="endnote text"/>
    <w:basedOn w:val="Standard"/>
    <w:link w:val="EndnotentextZchn"/>
    <w:semiHidden/>
    <w:unhideWhenUsed/>
    <w:rsid w:val="00E9774F"/>
    <w:rPr>
      <w:sz w:val="20"/>
      <w:szCs w:val="20"/>
    </w:rPr>
  </w:style>
  <w:style w:type="character" w:customStyle="1" w:styleId="EndnotentextZchn">
    <w:name w:val="Endnotentext Zchn"/>
    <w:basedOn w:val="Absatz-Standardschriftart"/>
    <w:link w:val="Endnotentext"/>
    <w:semiHidden/>
    <w:rsid w:val="00E9774F"/>
    <w:rPr>
      <w:lang w:val="de-DE" w:eastAsia="de-DE"/>
    </w:rPr>
  </w:style>
  <w:style w:type="character" w:styleId="Endnotenzeichen">
    <w:name w:val="endnote reference"/>
    <w:basedOn w:val="Absatz-Standardschriftart"/>
    <w:semiHidden/>
    <w:unhideWhenUsed/>
    <w:rsid w:val="00E9774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55961">
      <w:bodyDiv w:val="1"/>
      <w:marLeft w:val="0"/>
      <w:marRight w:val="0"/>
      <w:marTop w:val="0"/>
      <w:marBottom w:val="0"/>
      <w:divBdr>
        <w:top w:val="none" w:sz="0" w:space="0" w:color="auto"/>
        <w:left w:val="none" w:sz="0" w:space="0" w:color="auto"/>
        <w:bottom w:val="none" w:sz="0" w:space="0" w:color="auto"/>
        <w:right w:val="none" w:sz="0" w:space="0" w:color="auto"/>
      </w:divBdr>
    </w:div>
    <w:div w:id="257177931">
      <w:bodyDiv w:val="1"/>
      <w:marLeft w:val="0"/>
      <w:marRight w:val="0"/>
      <w:marTop w:val="0"/>
      <w:marBottom w:val="0"/>
      <w:divBdr>
        <w:top w:val="none" w:sz="0" w:space="0" w:color="auto"/>
        <w:left w:val="none" w:sz="0" w:space="0" w:color="auto"/>
        <w:bottom w:val="none" w:sz="0" w:space="0" w:color="auto"/>
        <w:right w:val="none" w:sz="0" w:space="0" w:color="auto"/>
      </w:divBdr>
    </w:div>
    <w:div w:id="313140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4F0624-E9EA-4B98-A98E-777FF6EDE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622</Words>
  <Characters>3925</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KSB</vt:lpstr>
    </vt:vector>
  </TitlesOfParts>
  <Company>KSB Group</Company>
  <LinksUpToDate>false</LinksUpToDate>
  <CharactersWithSpaces>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dc:title>
  <dc:creator>UB</dc:creator>
  <cp:lastModifiedBy>Steffel, Lena</cp:lastModifiedBy>
  <cp:revision>2</cp:revision>
  <cp:lastPrinted>2017-04-25T09:14:00Z</cp:lastPrinted>
  <dcterms:created xsi:type="dcterms:W3CDTF">2021-03-05T07:02:00Z</dcterms:created>
  <dcterms:modified xsi:type="dcterms:W3CDTF">2021-03-05T07:02:00Z</dcterms:modified>
</cp:coreProperties>
</file>