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52182" w14:textId="77777777" w:rsidR="00140B03" w:rsidRPr="00140B03" w:rsidRDefault="00140B03" w:rsidP="005121B6">
      <w:pPr>
        <w:jc w:val="both"/>
        <w:rPr>
          <w:b/>
        </w:rPr>
      </w:pPr>
      <w:r w:rsidRPr="00140B03">
        <w:rPr>
          <w:b/>
        </w:rPr>
        <w:t>Neue Abwasserpumpen mit effizienter Hydraulik</w:t>
      </w:r>
      <w:bookmarkStart w:id="0" w:name="_GoBack"/>
      <w:bookmarkEnd w:id="0"/>
    </w:p>
    <w:p w14:paraId="4B51E6B1" w14:textId="38604A06" w:rsidR="009634B8" w:rsidRPr="0072187F" w:rsidRDefault="00140B03" w:rsidP="005121B6">
      <w:pPr>
        <w:jc w:val="both"/>
      </w:pPr>
      <w:r>
        <w:t>Ein</w:t>
      </w:r>
      <w:r w:rsidR="00505DF6">
        <w:t>e weitere Ne</w:t>
      </w:r>
      <w:r>
        <w:t>u</w:t>
      </w:r>
      <w:r w:rsidR="00505DF6">
        <w:t>hei</w:t>
      </w:r>
      <w:r>
        <w:t xml:space="preserve">t, die </w:t>
      </w:r>
      <w:r w:rsidR="0040026F">
        <w:t xml:space="preserve">die </w:t>
      </w:r>
      <w:r>
        <w:t>KSB</w:t>
      </w:r>
      <w:r w:rsidR="002465FB">
        <w:t>-Gruppe</w:t>
      </w:r>
      <w:r>
        <w:t xml:space="preserve"> auf der IFAT 2020 (</w:t>
      </w:r>
      <w:r w:rsidR="009C25B3">
        <w:t>7</w:t>
      </w:r>
      <w:r>
        <w:t xml:space="preserve">.– </w:t>
      </w:r>
      <w:r w:rsidR="009C25B3">
        <w:t>11</w:t>
      </w:r>
      <w:r>
        <w:t xml:space="preserve">. </w:t>
      </w:r>
      <w:r w:rsidR="009C25B3">
        <w:t>September</w:t>
      </w:r>
      <w:r>
        <w:t xml:space="preserve"> 2020) der Öffentlichkeit</w:t>
      </w:r>
      <w:r w:rsidR="00DB494F">
        <w:t xml:space="preserve"> </w:t>
      </w:r>
      <w:r>
        <w:t>vorstellt</w:t>
      </w:r>
      <w:r w:rsidR="0040026F">
        <w:t>,</w:t>
      </w:r>
      <w:r>
        <w:t xml:space="preserve"> sind die neuen Tauchmotorpumpen der Baureihe Amarex.</w:t>
      </w:r>
      <w:r w:rsidR="005121B6">
        <w:t xml:space="preserve"> </w:t>
      </w:r>
      <w:r w:rsidR="00505DF6">
        <w:t>Deren Einsatzgebiete sind die Abwasser</w:t>
      </w:r>
      <w:r w:rsidR="00842405">
        <w:t>-</w:t>
      </w:r>
      <w:r w:rsidR="00505DF6">
        <w:t xml:space="preserve"> und </w:t>
      </w:r>
      <w:r w:rsidR="0020624E" w:rsidRPr="00505DF6">
        <w:t xml:space="preserve">Schlammbehandlung </w:t>
      </w:r>
      <w:r w:rsidR="00505DF6">
        <w:t>sowie der Transport von Regenwasser.</w:t>
      </w:r>
      <w:r w:rsidR="005121B6">
        <w:t xml:space="preserve"> </w:t>
      </w:r>
      <w:r w:rsidR="00250737">
        <w:t xml:space="preserve">Die Pumpen </w:t>
      </w:r>
      <w:r w:rsidR="00505DF6">
        <w:t xml:space="preserve">können </w:t>
      </w:r>
      <w:r w:rsidR="00DB494F">
        <w:t>Medien</w:t>
      </w:r>
      <w:r w:rsidR="0020624E" w:rsidRPr="00505DF6">
        <w:t xml:space="preserve"> mit langfaserigen und festen Bestandteilen</w:t>
      </w:r>
      <w:r w:rsidR="00250737">
        <w:t>, g</w:t>
      </w:r>
      <w:r w:rsidR="0020624E" w:rsidRPr="00505DF6">
        <w:t>ashaltige Fördermedien</w:t>
      </w:r>
      <w:r w:rsidR="00250737">
        <w:t>, Schlämme</w:t>
      </w:r>
      <w:r w:rsidR="00DB494F">
        <w:t>,</w:t>
      </w:r>
      <w:r w:rsidR="00250737">
        <w:t xml:space="preserve"> </w:t>
      </w:r>
      <w:r w:rsidR="0020624E" w:rsidRPr="00505DF6">
        <w:t>Brauch</w:t>
      </w:r>
      <w:r w:rsidR="00250737">
        <w:t xml:space="preserve">- sowie </w:t>
      </w:r>
      <w:r w:rsidR="0020624E" w:rsidRPr="00505DF6">
        <w:t>Schmutzwasser</w:t>
      </w:r>
      <w:r w:rsidR="00250737">
        <w:t xml:space="preserve"> fördern.</w:t>
      </w:r>
      <w:r w:rsidR="005121B6">
        <w:t xml:space="preserve"> </w:t>
      </w:r>
      <w:r w:rsidR="00DB494F">
        <w:t xml:space="preserve">Als </w:t>
      </w:r>
      <w:r w:rsidRPr="0072187F">
        <w:t xml:space="preserve">Laufräder </w:t>
      </w:r>
      <w:r w:rsidR="00DB494F">
        <w:t xml:space="preserve">kommen </w:t>
      </w:r>
      <w:r w:rsidR="009634B8" w:rsidRPr="0072187F">
        <w:t xml:space="preserve">entweder </w:t>
      </w:r>
      <w:r w:rsidRPr="0072187F">
        <w:t>Freistromr</w:t>
      </w:r>
      <w:r w:rsidR="00DB494F">
        <w:t>ä</w:t>
      </w:r>
      <w:r w:rsidRPr="0072187F">
        <w:t>d</w:t>
      </w:r>
      <w:r w:rsidR="00DB494F">
        <w:t>er</w:t>
      </w:r>
      <w:r w:rsidR="0072187F" w:rsidRPr="0072187F">
        <w:rPr>
          <w:rFonts w:eastAsiaTheme="minorEastAsia"/>
        </w:rPr>
        <w:t xml:space="preserve"> </w:t>
      </w:r>
      <w:r w:rsidR="0072187F">
        <w:rPr>
          <w:rFonts w:eastAsiaTheme="minorEastAsia"/>
        </w:rPr>
        <w:t>(</w:t>
      </w:r>
      <w:r w:rsidR="0072187F" w:rsidRPr="0072187F">
        <w:rPr>
          <w:rFonts w:eastAsiaTheme="minorEastAsia"/>
        </w:rPr>
        <w:t>F</w:t>
      </w:r>
      <w:r w:rsidR="0072187F" w:rsidRPr="002C33BC">
        <w:rPr>
          <w:vertAlign w:val="subscript"/>
        </w:rPr>
        <w:t>max</w:t>
      </w:r>
      <w:r w:rsidR="0072187F">
        <w:t>)</w:t>
      </w:r>
      <w:r w:rsidR="0072187F" w:rsidRPr="0072187F">
        <w:t xml:space="preserve"> </w:t>
      </w:r>
      <w:r w:rsidR="009634B8" w:rsidRPr="0072187F">
        <w:t xml:space="preserve">oder </w:t>
      </w:r>
      <w:r w:rsidR="00B00D43">
        <w:t xml:space="preserve">offene </w:t>
      </w:r>
      <w:r w:rsidR="00DB494F">
        <w:t>Doppelschaufelrä</w:t>
      </w:r>
      <w:r w:rsidRPr="0072187F">
        <w:t>d</w:t>
      </w:r>
      <w:r w:rsidR="0040026F">
        <w:t>er</w:t>
      </w:r>
      <w:r w:rsidR="00DB494F">
        <w:t xml:space="preserve"> </w:t>
      </w:r>
      <w:r w:rsidR="00DB494F">
        <w:rPr>
          <w:rFonts w:eastAsiaTheme="minorEastAsia"/>
        </w:rPr>
        <w:t>(D</w:t>
      </w:r>
      <w:r w:rsidR="00DB494F" w:rsidRPr="0072187F">
        <w:t>max</w:t>
      </w:r>
      <w:r w:rsidR="00DB494F">
        <w:t>) zum Einsatz</w:t>
      </w:r>
      <w:r w:rsidR="009634B8" w:rsidRPr="0072187F">
        <w:t>.</w:t>
      </w:r>
    </w:p>
    <w:p w14:paraId="200BFD34" w14:textId="77777777" w:rsidR="009634B8" w:rsidRDefault="009634B8" w:rsidP="005121B6">
      <w:pPr>
        <w:jc w:val="both"/>
      </w:pPr>
    </w:p>
    <w:p w14:paraId="240C6488" w14:textId="4D35B802" w:rsidR="00A66FB2" w:rsidRDefault="009634B8" w:rsidP="005121B6">
      <w:pPr>
        <w:jc w:val="both"/>
      </w:pPr>
      <w:r>
        <w:t>So hat der Kunde die Wahl, ob er eine kleine Abwassermenge auf eine größere Förderhöhe oder eine größere Fördermenge auf eine kleinere Förderh</w:t>
      </w:r>
      <w:r w:rsidR="0040026F">
        <w:t>ö</w:t>
      </w:r>
      <w:r>
        <w:t>he</w:t>
      </w:r>
      <w:r w:rsidRPr="009634B8">
        <w:t xml:space="preserve"> </w:t>
      </w:r>
      <w:r w:rsidR="0040026F">
        <w:t xml:space="preserve">heben </w:t>
      </w:r>
      <w:r>
        <w:t xml:space="preserve">möchte. </w:t>
      </w:r>
      <w:r w:rsidR="00724246" w:rsidRPr="0072187F">
        <w:t xml:space="preserve">Bei der </w:t>
      </w:r>
      <w:r w:rsidR="0072187F" w:rsidRPr="0072187F">
        <w:t>Dmax-Ausführung ist optional ein sogenannter „D-flector“ lieferbar, der die Verstopfungs-sicherheit in Bezug auf Feuchttücher deutlich erhöht.</w:t>
      </w:r>
      <w:r w:rsidR="005121B6">
        <w:t xml:space="preserve"> </w:t>
      </w:r>
      <w:r w:rsidR="00A66FB2">
        <w:t>Verschiedene Werkstoffvarianten und Gleitring</w:t>
      </w:r>
      <w:r w:rsidR="00DB388C">
        <w:t>dichtungsvarianten stellen sicher, dass der Anwender ein breites Spektrum an korrosiven und abrasiven Medien transportieren kann.</w:t>
      </w:r>
    </w:p>
    <w:p w14:paraId="0A7968D0" w14:textId="77777777" w:rsidR="00A66FB2" w:rsidRDefault="00A66FB2" w:rsidP="005121B6">
      <w:pPr>
        <w:jc w:val="both"/>
      </w:pPr>
    </w:p>
    <w:p w14:paraId="242FEF70" w14:textId="064D5289" w:rsidR="00C905AD" w:rsidRDefault="009634B8" w:rsidP="005121B6">
      <w:pPr>
        <w:jc w:val="both"/>
      </w:pPr>
      <w:r>
        <w:t xml:space="preserve">Dank verstopfungsfrei konstruierter Laufräder reduziert </w:t>
      </w:r>
      <w:r w:rsidR="00C905AD">
        <w:t xml:space="preserve">sich </w:t>
      </w:r>
      <w:r>
        <w:t>de</w:t>
      </w:r>
      <w:r w:rsidR="00C905AD">
        <w:t>r</w:t>
      </w:r>
      <w:r>
        <w:t xml:space="preserve"> Wartungsaufwand gegenüber </w:t>
      </w:r>
      <w:r w:rsidR="00C905AD">
        <w:t>herkömmlichen</w:t>
      </w:r>
      <w:r>
        <w:t xml:space="preserve"> Bauweisen deutlich.</w:t>
      </w:r>
      <w:r w:rsidR="005121B6">
        <w:t xml:space="preserve"> </w:t>
      </w:r>
      <w:r>
        <w:t xml:space="preserve">Der hohe hydraulische Wirkungsgrad </w:t>
      </w:r>
      <w:r w:rsidR="00C905AD">
        <w:t xml:space="preserve">der </w:t>
      </w:r>
      <w:r w:rsidR="00DB388C">
        <w:t>P</w:t>
      </w:r>
      <w:r w:rsidR="00C905AD">
        <w:t xml:space="preserve">umpen in Kombination mit den hocheffizienten Elektromotoren der Klasse IE3 sorgt für niedrige </w:t>
      </w:r>
      <w:r>
        <w:t>Stromkosten</w:t>
      </w:r>
      <w:r w:rsidR="00C905AD">
        <w:t xml:space="preserve"> im Betrieb</w:t>
      </w:r>
      <w:r>
        <w:t>.</w:t>
      </w:r>
      <w:r w:rsidR="005121B6">
        <w:t xml:space="preserve"> </w:t>
      </w:r>
      <w:r w:rsidR="00782EEE">
        <w:t xml:space="preserve">Die maximale Förderhöhe der </w:t>
      </w:r>
      <w:r w:rsidR="00C905AD">
        <w:t>Baureihe</w:t>
      </w:r>
      <w:r w:rsidR="00782EEE">
        <w:t xml:space="preserve"> liegt bei </w:t>
      </w:r>
      <w:r w:rsidR="00C905AD">
        <w:t>42 Metern und die maximale Fördermenge beträgt 320 m</w:t>
      </w:r>
      <w:r w:rsidR="00C905AD" w:rsidRPr="00C905AD">
        <w:rPr>
          <w:vertAlign w:val="superscript"/>
        </w:rPr>
        <w:t>3</w:t>
      </w:r>
      <w:r w:rsidR="00C905AD">
        <w:t>/h.</w:t>
      </w:r>
      <w:r w:rsidR="005121B6">
        <w:t xml:space="preserve"> </w:t>
      </w:r>
      <w:r w:rsidR="00C905AD">
        <w:t>Die Entwickler legten bei dem Entwurf der Amarex großen Wert auf die Erreichung einer</w:t>
      </w:r>
      <w:r w:rsidR="00A66FB2">
        <w:t xml:space="preserve"> lange</w:t>
      </w:r>
      <w:r w:rsidR="00724246">
        <w:t>n</w:t>
      </w:r>
      <w:r w:rsidR="00A66FB2">
        <w:t xml:space="preserve"> Lebensdauer.</w:t>
      </w:r>
      <w:r w:rsidR="005121B6">
        <w:t xml:space="preserve"> </w:t>
      </w:r>
      <w:r w:rsidR="00C905AD">
        <w:t xml:space="preserve">Dafür sorgen </w:t>
      </w:r>
      <w:r w:rsidR="003A7E83">
        <w:t>ein</w:t>
      </w:r>
      <w:r w:rsidR="004F540D">
        <w:t xml:space="preserve"> </w:t>
      </w:r>
      <w:r w:rsidR="002F7097">
        <w:t>groß</w:t>
      </w:r>
      <w:r w:rsidR="00C905AD">
        <w:t xml:space="preserve"> dimensionierte</w:t>
      </w:r>
      <w:r w:rsidR="0064145C">
        <w:t>r</w:t>
      </w:r>
      <w:r w:rsidR="00C905AD">
        <w:t xml:space="preserve"> </w:t>
      </w:r>
      <w:r w:rsidR="00925AC2">
        <w:t>Antriebsmotor, die robuste</w:t>
      </w:r>
      <w:r w:rsidR="00724246">
        <w:t>n</w:t>
      </w:r>
      <w:r w:rsidR="00925AC2">
        <w:t xml:space="preserve"> Wälzlager</w:t>
      </w:r>
      <w:r w:rsidR="00C905AD">
        <w:t xml:space="preserve"> und eine Welle aus korrosionsfestem Edelstahl.</w:t>
      </w:r>
    </w:p>
    <w:p w14:paraId="5E016FC1" w14:textId="77777777" w:rsidR="00C905AD" w:rsidRDefault="00C905AD" w:rsidP="005121B6">
      <w:pPr>
        <w:jc w:val="both"/>
      </w:pPr>
    </w:p>
    <w:p w14:paraId="6A8D5EFC" w14:textId="2B250294" w:rsidR="002465FB" w:rsidRDefault="00925AC2" w:rsidP="005121B6">
      <w:pPr>
        <w:jc w:val="both"/>
      </w:pPr>
      <w:r>
        <w:t xml:space="preserve">Eine umweltfreundliche, nicht toxische Ölfüllung stellt eine </w:t>
      </w:r>
      <w:r w:rsidR="002F7097">
        <w:t xml:space="preserve">dauerhafte </w:t>
      </w:r>
      <w:r>
        <w:t>Schmierung der Gleitringdichtung sicher.</w:t>
      </w:r>
      <w:r w:rsidR="005121B6">
        <w:t xml:space="preserve"> </w:t>
      </w:r>
      <w:r w:rsidR="00ED3E0B">
        <w:t>Wie bei dieser Art Pumpen üblich</w:t>
      </w:r>
      <w:r w:rsidR="0040026F">
        <w:t>,</w:t>
      </w:r>
      <w:r w:rsidR="00ED3E0B">
        <w:t xml:space="preserve"> </w:t>
      </w:r>
      <w:r w:rsidR="00F36763">
        <w:t xml:space="preserve">erfolgt der Einbau im Pumpensumpf über einen </w:t>
      </w:r>
      <w:r w:rsidR="0040026F">
        <w:t>Fußkrümmer</w:t>
      </w:r>
      <w:r w:rsidR="00F36763">
        <w:t>. Eine g</w:t>
      </w:r>
      <w:r w:rsidR="00F36763" w:rsidRPr="00F36763">
        <w:t xml:space="preserve">roße Auswahl an Adapterhalterungen </w:t>
      </w:r>
      <w:r w:rsidR="00F36763">
        <w:t>erlaubt auch die Nutzung von F</w:t>
      </w:r>
      <w:r w:rsidR="00F36763" w:rsidRPr="00F36763">
        <w:t>ußkrümmer</w:t>
      </w:r>
      <w:r w:rsidR="0040026F">
        <w:t>n</w:t>
      </w:r>
      <w:r w:rsidR="00F36763" w:rsidRPr="00F36763">
        <w:t xml:space="preserve"> </w:t>
      </w:r>
      <w:r w:rsidR="00F36763">
        <w:t>anderer Hersteller, sodass ein Fabrikatwechsel ohne größeren Montageaufwand möglich ist.</w:t>
      </w:r>
      <w:r w:rsidR="005121B6">
        <w:t xml:space="preserve"> </w:t>
      </w:r>
      <w:r w:rsidR="00F36763">
        <w:t>Die Abdichtung zwischen Fußkrümmer und Druckflansch der Pumpe erfolgt über einen neu entwickelten U-Profilring, der absolut wasserdicht und sehr langlebig ist</w:t>
      </w:r>
      <w:r w:rsidR="004C62DB">
        <w:t>.</w:t>
      </w:r>
      <w:r w:rsidR="005121B6">
        <w:t xml:space="preserve"> </w:t>
      </w:r>
      <w:r w:rsidR="00F36763">
        <w:t>Auch bei der Führung</w:t>
      </w:r>
      <w:r w:rsidR="004C62DB">
        <w:t>,</w:t>
      </w:r>
      <w:r w:rsidR="002465FB">
        <w:t xml:space="preserve"> mit deren Hilfe die Pumpen auf den Fußkrümmer gesetzt werden</w:t>
      </w:r>
      <w:r w:rsidR="004C62DB">
        <w:t>,</w:t>
      </w:r>
      <w:r w:rsidR="002465FB">
        <w:t xml:space="preserve"> kann der Anwender zwischen einer </w:t>
      </w:r>
      <w:r w:rsidR="004C62DB">
        <w:t>Bügel-, Seil-, Einstangen- und Zweistangenführung</w:t>
      </w:r>
      <w:r w:rsidR="002465FB">
        <w:t xml:space="preserve"> wählen.</w:t>
      </w:r>
    </w:p>
    <w:p w14:paraId="4C81DEBC" w14:textId="77777777" w:rsidR="00ED3E0B" w:rsidRDefault="00ED3E0B" w:rsidP="005121B6">
      <w:pPr>
        <w:jc w:val="both"/>
      </w:pPr>
    </w:p>
    <w:p w14:paraId="17C2BE8C" w14:textId="37B89A89" w:rsidR="003A7E83" w:rsidRDefault="003A7E83" w:rsidP="005121B6">
      <w:pPr>
        <w:jc w:val="both"/>
      </w:pPr>
      <w:r>
        <w:t>Die Pumpen sind so aufgebaut, dass sie sich</w:t>
      </w:r>
      <w:r w:rsidR="0064145C">
        <w:t xml:space="preserve"> gut </w:t>
      </w:r>
      <w:r>
        <w:t>reparieren lassen.</w:t>
      </w:r>
      <w:r w:rsidR="005121B6">
        <w:t xml:space="preserve"> </w:t>
      </w:r>
      <w:r w:rsidR="0064145C">
        <w:t xml:space="preserve">Am Ende </w:t>
      </w:r>
      <w:r w:rsidR="003B1298">
        <w:t>ihres</w:t>
      </w:r>
      <w:r w:rsidR="0064145C">
        <w:t xml:space="preserve"> Leben</w:t>
      </w:r>
      <w:r w:rsidR="003B1298">
        <w:t>s</w:t>
      </w:r>
      <w:r w:rsidR="0064145C">
        <w:t xml:space="preserve">zyklus kann man </w:t>
      </w:r>
      <w:r w:rsidR="00B00D43">
        <w:t xml:space="preserve">fast </w:t>
      </w:r>
      <w:r w:rsidR="0064145C">
        <w:t>a</w:t>
      </w:r>
      <w:r w:rsidR="003B1298">
        <w:t>lle v</w:t>
      </w:r>
      <w:r>
        <w:t>erbauten Komponenten trennen und recyceln.</w:t>
      </w:r>
    </w:p>
    <w:p w14:paraId="2514B935" w14:textId="77777777" w:rsidR="002465FB" w:rsidRDefault="002465FB" w:rsidP="005121B6">
      <w:pPr>
        <w:jc w:val="both"/>
      </w:pPr>
    </w:p>
    <w:p w14:paraId="2711F082" w14:textId="4FFE4D9D" w:rsidR="002465FB" w:rsidRDefault="002465FB" w:rsidP="005121B6">
      <w:pPr>
        <w:jc w:val="both"/>
      </w:pPr>
      <w:r>
        <w:t>Foto: Ein hoher hydraulische</w:t>
      </w:r>
      <w:r w:rsidR="004C62DB">
        <w:t>r</w:t>
      </w:r>
      <w:r>
        <w:t xml:space="preserve"> Wirkungsgrad in Kombination mit einem hocheffizienten Elektromotor zeichnet die neuen Amarex</w:t>
      </w:r>
      <w:r w:rsidR="004C62DB">
        <w:t>-</w:t>
      </w:r>
      <w:r>
        <w:t xml:space="preserve">Tauchmotorpumpen der KSB-Gruppe aus. (©KSB SE &amp; Co. KGaA) </w:t>
      </w:r>
    </w:p>
    <w:sectPr w:rsidR="002465FB" w:rsidSect="002465FB">
      <w:headerReference w:type="even" r:id="rId7"/>
      <w:headerReference w:type="default" r:id="rId8"/>
      <w:footerReference w:type="default" r:id="rId9"/>
      <w:pgSz w:w="11906" w:h="16838" w:code="9"/>
      <w:pgMar w:top="709" w:right="794" w:bottom="1276" w:left="1134" w:header="567" w:footer="170" w:gutter="0"/>
      <w:cols w:space="720"/>
      <w:titlePg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DF4DE" w14:textId="77777777" w:rsidR="00A64544" w:rsidRDefault="00A64544">
      <w:r>
        <w:separator/>
      </w:r>
    </w:p>
  </w:endnote>
  <w:endnote w:type="continuationSeparator" w:id="0">
    <w:p w14:paraId="3A212C54" w14:textId="77777777" w:rsidR="00A64544" w:rsidRDefault="00A6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79"/>
    </w:tblGrid>
    <w:tr w:rsidR="00A4139C" w14:paraId="7E81C8A7" w14:textId="77777777">
      <w:trPr>
        <w:trHeight w:hRule="exact" w:val="1320"/>
      </w:trPr>
      <w:tc>
        <w:tcPr>
          <w:tcW w:w="9979" w:type="dxa"/>
        </w:tcPr>
        <w:p w14:paraId="08C4BC8B" w14:textId="77777777" w:rsidR="00A4139C" w:rsidRDefault="00170D6E">
          <w:pPr>
            <w:pStyle w:val="Fuzeile"/>
          </w:pPr>
          <w:bookmarkStart w:id="2" w:name="Fusszeile"/>
          <w:r>
            <w:rPr>
              <w:noProof/>
            </w:rPr>
            <w:drawing>
              <wp:inline distT="0" distB="0" distL="0" distR="0" wp14:anchorId="59085F8A" wp14:editId="31460B93">
                <wp:extent cx="6322695" cy="855980"/>
                <wp:effectExtent l="0" t="0" r="1905" b="1270"/>
                <wp:docPr id="38" name="Bild 2" descr="Fussze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ussze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0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2695" cy="85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2"/>
        </w:p>
      </w:tc>
    </w:tr>
  </w:tbl>
  <w:p w14:paraId="53FBBCA8" w14:textId="77777777" w:rsidR="00A4139C" w:rsidRDefault="00A4139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9789E" w14:textId="77777777" w:rsidR="00A64544" w:rsidRDefault="00A64544">
      <w:r>
        <w:separator/>
      </w:r>
    </w:p>
  </w:footnote>
  <w:footnote w:type="continuationSeparator" w:id="0">
    <w:p w14:paraId="209BADCE" w14:textId="77777777" w:rsidR="00A64544" w:rsidRDefault="00A64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FE58A" w14:textId="77777777" w:rsidR="00A4139C" w:rsidRDefault="0086737F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A4139C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4139C">
      <w:rPr>
        <w:rStyle w:val="Seitenzahl"/>
        <w:noProof/>
      </w:rPr>
      <w:t>1</w:t>
    </w:r>
    <w:r>
      <w:rPr>
        <w:rStyle w:val="Seitenzahl"/>
      </w:rPr>
      <w:fldChar w:fldCharType="end"/>
    </w:r>
  </w:p>
  <w:p w14:paraId="6285BF30" w14:textId="77777777" w:rsidR="00A4139C" w:rsidRDefault="00A4139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DF24E" w14:textId="3A98BA8E" w:rsidR="00A4139C" w:rsidRDefault="00A4139C">
    <w:pPr>
      <w:framePr w:w="567" w:wrap="around" w:vAnchor="text" w:hAnchor="margin" w:xAlign="center" w:y="1"/>
      <w:jc w:val="center"/>
    </w:pPr>
    <w:bookmarkStart w:id="1" w:name="Logo"/>
    <w:r>
      <w:t xml:space="preserve">- </w:t>
    </w:r>
    <w:r w:rsidR="00170D6E">
      <w:fldChar w:fldCharType="begin"/>
    </w:r>
    <w:r w:rsidR="00170D6E">
      <w:instrText xml:space="preserve"> PAGE </w:instrText>
    </w:r>
    <w:r w:rsidR="00170D6E">
      <w:fldChar w:fldCharType="separate"/>
    </w:r>
    <w:r w:rsidR="002F7097">
      <w:rPr>
        <w:noProof/>
      </w:rPr>
      <w:t>2</w:t>
    </w:r>
    <w:r w:rsidR="00170D6E">
      <w:rPr>
        <w:noProof/>
      </w:rPr>
      <w:fldChar w:fldCharType="end"/>
    </w:r>
    <w:r>
      <w:t xml:space="preserve"> -</w:t>
    </w:r>
  </w:p>
  <w:p w14:paraId="6E45614A" w14:textId="77777777" w:rsidR="00A4139C" w:rsidRDefault="00170D6E">
    <w:pPr>
      <w:pStyle w:val="Kopfzeile"/>
      <w:jc w:val="right"/>
    </w:pPr>
    <w:r>
      <w:rPr>
        <w:noProof/>
      </w:rPr>
      <w:drawing>
        <wp:inline distT="0" distB="0" distL="0" distR="0" wp14:anchorId="7DA2ED4D" wp14:editId="6E76A798">
          <wp:extent cx="1190625" cy="513715"/>
          <wp:effectExtent l="0" t="0" r="9525" b="635"/>
          <wp:docPr id="37" name="Bild 1" descr="KSB%20Logo_2c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SB%20Logo_2c_klein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13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14:paraId="76B2549B" w14:textId="77777777" w:rsidR="00A4139C" w:rsidRDefault="00A4139C">
    <w:pPr>
      <w:pStyle w:val="Kopfzeile"/>
      <w:jc w:val="right"/>
    </w:pPr>
  </w:p>
  <w:p w14:paraId="3264C0E9" w14:textId="77777777" w:rsidR="00A4139C" w:rsidRDefault="00A4139C">
    <w:pPr>
      <w:pStyle w:val="Kopfzeile"/>
      <w:jc w:val="right"/>
    </w:pPr>
  </w:p>
  <w:p w14:paraId="5E497532" w14:textId="77777777" w:rsidR="00A4139C" w:rsidRDefault="00A4139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F2C91"/>
    <w:multiLevelType w:val="hybridMultilevel"/>
    <w:tmpl w:val="E5023A5E"/>
    <w:lvl w:ilvl="0" w:tplc="8558F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849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4C7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BAD1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0C2C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9EFA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649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5419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18D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7227135"/>
    <w:multiLevelType w:val="hybridMultilevel"/>
    <w:tmpl w:val="BB2651A2"/>
    <w:lvl w:ilvl="0" w:tplc="4A6A5C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0A47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9CB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DA6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EE78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A62B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5E5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B22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E88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03"/>
    <w:rsid w:val="00010238"/>
    <w:rsid w:val="00060A1F"/>
    <w:rsid w:val="00140B03"/>
    <w:rsid w:val="00141B5E"/>
    <w:rsid w:val="00170D6E"/>
    <w:rsid w:val="0020624E"/>
    <w:rsid w:val="002465FB"/>
    <w:rsid w:val="00250737"/>
    <w:rsid w:val="002C33BC"/>
    <w:rsid w:val="002F7097"/>
    <w:rsid w:val="003A7E83"/>
    <w:rsid w:val="003B1298"/>
    <w:rsid w:val="0040026F"/>
    <w:rsid w:val="00451AC3"/>
    <w:rsid w:val="00472373"/>
    <w:rsid w:val="004A6F3C"/>
    <w:rsid w:val="004C62DB"/>
    <w:rsid w:val="004F540D"/>
    <w:rsid w:val="00505DF6"/>
    <w:rsid w:val="005121B6"/>
    <w:rsid w:val="00514B86"/>
    <w:rsid w:val="00563D15"/>
    <w:rsid w:val="0064145C"/>
    <w:rsid w:val="00674B15"/>
    <w:rsid w:val="006E3D5A"/>
    <w:rsid w:val="00710BBB"/>
    <w:rsid w:val="0072187F"/>
    <w:rsid w:val="00724246"/>
    <w:rsid w:val="00782EEE"/>
    <w:rsid w:val="00842405"/>
    <w:rsid w:val="0086737F"/>
    <w:rsid w:val="00925AC2"/>
    <w:rsid w:val="009634B8"/>
    <w:rsid w:val="009B036D"/>
    <w:rsid w:val="009C25B3"/>
    <w:rsid w:val="00A4139C"/>
    <w:rsid w:val="00A64544"/>
    <w:rsid w:val="00A66FB2"/>
    <w:rsid w:val="00AB1736"/>
    <w:rsid w:val="00AD32A6"/>
    <w:rsid w:val="00B00D43"/>
    <w:rsid w:val="00B26ECC"/>
    <w:rsid w:val="00C905AD"/>
    <w:rsid w:val="00DB388C"/>
    <w:rsid w:val="00DB494F"/>
    <w:rsid w:val="00E35697"/>
    <w:rsid w:val="00ED3E0B"/>
    <w:rsid w:val="00F3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E74E81"/>
  <w15:chartTrackingRefBased/>
  <w15:docId w15:val="{6ADBB27B-8AEA-4192-A7F2-9008A920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6737F"/>
    <w:rPr>
      <w:rFonts w:ascii="Arial" w:hAnsi="Arial" w:cs="Arial"/>
      <w:sz w:val="22"/>
      <w:szCs w:val="22"/>
      <w:lang w:val="de-DE" w:eastAsia="de-DE"/>
    </w:rPr>
  </w:style>
  <w:style w:type="paragraph" w:styleId="berschrift1">
    <w:name w:val="heading 1"/>
    <w:basedOn w:val="Standard"/>
    <w:next w:val="Standard"/>
    <w:qFormat/>
    <w:rsid w:val="0086737F"/>
    <w:pPr>
      <w:keepNext/>
      <w:spacing w:line="240" w:lineRule="exact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6737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6737F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86737F"/>
    <w:pPr>
      <w:spacing w:line="220" w:lineRule="exact"/>
    </w:pPr>
    <w:rPr>
      <w:sz w:val="16"/>
      <w:szCs w:val="16"/>
    </w:rPr>
  </w:style>
  <w:style w:type="character" w:styleId="Seitenzahl">
    <w:name w:val="page number"/>
    <w:basedOn w:val="Absatz-Standardschriftart"/>
    <w:rsid w:val="0086737F"/>
  </w:style>
  <w:style w:type="paragraph" w:styleId="Listenabsatz">
    <w:name w:val="List Paragraph"/>
    <w:basedOn w:val="Standard"/>
    <w:uiPriority w:val="34"/>
    <w:qFormat/>
    <w:rsid w:val="00505DF6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72187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Kommentarzeichen">
    <w:name w:val="annotation reference"/>
    <w:basedOn w:val="Absatz-Standardschriftart"/>
    <w:semiHidden/>
    <w:unhideWhenUsed/>
    <w:rsid w:val="0040026F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40026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40026F"/>
    <w:rPr>
      <w:rFonts w:ascii="Arial" w:hAnsi="Arial" w:cs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002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0026F"/>
    <w:rPr>
      <w:rFonts w:ascii="Arial" w:hAnsi="Arial" w:cs="Arial"/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40026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0026F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7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1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4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0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1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95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46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0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28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883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8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1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KSB Aktiengesellschaft • Johann-Klein-Straße 9 • 67227 Frankenthal</vt:lpstr>
    </vt:vector>
  </TitlesOfParts>
  <Company>KSB Group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KSB Aktiengesellschaft • Johann-Klein-Straße 9 • 67227 Frankenthal</dc:title>
  <dc:subject/>
  <dc:creator>Pauly, Christoph</dc:creator>
  <cp:keywords/>
  <dc:description/>
  <cp:lastModifiedBy>Pauly, Christoph</cp:lastModifiedBy>
  <cp:revision>6</cp:revision>
  <cp:lastPrinted>2006-04-21T08:51:00Z</cp:lastPrinted>
  <dcterms:created xsi:type="dcterms:W3CDTF">2020-02-17T13:14:00Z</dcterms:created>
  <dcterms:modified xsi:type="dcterms:W3CDTF">2020-03-18T08:42:00Z</dcterms:modified>
</cp:coreProperties>
</file>