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D25A8" w:rsidRDefault="004D25A8" w:rsidP="004D25A8">
      <w:pPr>
        <w:pStyle w:val="titel"/>
        <w:ind w:right="2692"/>
        <w:rPr>
          <w:lang w:val="de-DE"/>
        </w:rPr>
      </w:pPr>
      <w:bookmarkStart w:id="0" w:name="_GoBack"/>
      <w:bookmarkEnd w:id="0"/>
      <w:r>
        <w:rPr>
          <w:lang w:val="de-DE"/>
        </w:rPr>
        <w:t>KSB-Vorstände eröffnen Börsenhandel</w:t>
      </w:r>
    </w:p>
    <w:p w:rsidR="004D25A8" w:rsidRDefault="004D25A8" w:rsidP="004D25A8">
      <w:pPr>
        <w:pStyle w:val="titel"/>
        <w:ind w:left="1134" w:right="2692"/>
        <w:rPr>
          <w:lang w:val="de-DE"/>
        </w:rPr>
      </w:pPr>
    </w:p>
    <w:p w:rsidR="004D25A8" w:rsidRDefault="004D25A8" w:rsidP="00655653">
      <w:pPr>
        <w:pStyle w:val="titel"/>
        <w:spacing w:line="360" w:lineRule="auto"/>
        <w:ind w:right="2692"/>
        <w:jc w:val="both"/>
        <w:rPr>
          <w:b w:val="0"/>
          <w:sz w:val="24"/>
          <w:szCs w:val="24"/>
          <w:lang w:val="de-DE"/>
        </w:rPr>
      </w:pPr>
      <w:r>
        <w:rPr>
          <w:sz w:val="24"/>
          <w:szCs w:val="24"/>
          <w:lang w:val="de-DE"/>
        </w:rPr>
        <w:t xml:space="preserve">Frankfurt: </w:t>
      </w:r>
      <w:r>
        <w:rPr>
          <w:b w:val="0"/>
          <w:bCs/>
          <w:sz w:val="24"/>
          <w:szCs w:val="24"/>
          <w:lang w:val="de-DE"/>
        </w:rPr>
        <w:t xml:space="preserve">Die KSB AG begeht in diesem Jahr ihr 120-jähriges Jubiläum an der Frankfurter Wertpapierbörse. </w:t>
      </w:r>
      <w:r w:rsidR="00EF3909">
        <w:rPr>
          <w:b w:val="0"/>
          <w:bCs/>
          <w:sz w:val="24"/>
          <w:szCs w:val="24"/>
          <w:lang w:val="de-DE"/>
        </w:rPr>
        <w:t>Aus</w:t>
      </w:r>
      <w:r>
        <w:rPr>
          <w:b w:val="0"/>
          <w:bCs/>
          <w:sz w:val="24"/>
          <w:szCs w:val="24"/>
          <w:lang w:val="de-DE"/>
        </w:rPr>
        <w:t xml:space="preserve"> diesem Anlass eröffneten </w:t>
      </w:r>
      <w:r>
        <w:rPr>
          <w:b w:val="0"/>
          <w:bCs/>
          <w:sz w:val="24"/>
          <w:szCs w:val="24"/>
          <w:lang w:val="de-DE"/>
        </w:rPr>
        <w:lastRenderedPageBreak/>
        <w:t>heute die beiden Vorstandsmitglieder Dr. Peter Buthmann und Werner Steg</w:t>
      </w:r>
      <w:r w:rsidR="00141752">
        <w:rPr>
          <w:b w:val="0"/>
          <w:bCs/>
          <w:sz w:val="24"/>
          <w:szCs w:val="24"/>
          <w:lang w:val="de-DE"/>
        </w:rPr>
        <w:softHyphen/>
      </w:r>
      <w:r>
        <w:rPr>
          <w:b w:val="0"/>
          <w:bCs/>
          <w:sz w:val="24"/>
          <w:szCs w:val="24"/>
          <w:lang w:val="de-DE"/>
        </w:rPr>
        <w:t xml:space="preserve">müller den Handel mit dem Läuten der Börsenglocke. </w:t>
      </w:r>
    </w:p>
    <w:p w:rsidR="004D25A8" w:rsidRDefault="004D25A8" w:rsidP="004D25A8">
      <w:pPr>
        <w:pStyle w:val="titel"/>
        <w:spacing w:line="360" w:lineRule="auto"/>
        <w:ind w:right="2692"/>
        <w:jc w:val="both"/>
        <w:rPr>
          <w:b w:val="0"/>
          <w:bCs/>
          <w:sz w:val="24"/>
          <w:szCs w:val="24"/>
          <w:lang w:val="de-DE"/>
        </w:rPr>
      </w:pPr>
    </w:p>
    <w:p w:rsidR="004D25A8" w:rsidRDefault="004D25A8" w:rsidP="004D25A8">
      <w:pPr>
        <w:pStyle w:val="titel"/>
        <w:spacing w:line="360" w:lineRule="auto"/>
        <w:ind w:right="2692"/>
        <w:jc w:val="both"/>
        <w:rPr>
          <w:b w:val="0"/>
          <w:bCs/>
          <w:sz w:val="24"/>
          <w:szCs w:val="24"/>
          <w:lang w:val="de-DE"/>
        </w:rPr>
      </w:pPr>
      <w:r>
        <w:rPr>
          <w:b w:val="0"/>
          <w:bCs/>
          <w:sz w:val="24"/>
          <w:szCs w:val="24"/>
          <w:lang w:val="de-DE"/>
        </w:rPr>
        <w:t xml:space="preserve">Seit 1895 ist KSB an der Börse gelistet und hat in dieser Zeit nicht nur glanzvolle, </w:t>
      </w:r>
      <w:r>
        <w:rPr>
          <w:b w:val="0"/>
          <w:bCs/>
          <w:sz w:val="24"/>
          <w:szCs w:val="24"/>
          <w:lang w:val="de-DE"/>
        </w:rPr>
        <w:lastRenderedPageBreak/>
        <w:t xml:space="preserve">sondern auch herausfordernde Zeiten erlebt, wie die beiden Vorstände vor Ort erinnerten. „Aber wir haben bewiesen, dass wir immer wieder in der Lage sind, in die Erfolgsspur zurückzufinden“, so Werner Stegmüller. </w:t>
      </w:r>
      <w:r>
        <w:rPr>
          <w:b w:val="0"/>
          <w:bCs/>
          <w:sz w:val="24"/>
          <w:szCs w:val="24"/>
          <w:lang w:val="de-DE"/>
        </w:rPr>
        <w:lastRenderedPageBreak/>
        <w:t>Mit innovativen und qualitativ hochwertigen Produkte</w:t>
      </w:r>
      <w:r w:rsidR="004D48CE">
        <w:rPr>
          <w:b w:val="0"/>
          <w:bCs/>
          <w:sz w:val="24"/>
          <w:szCs w:val="24"/>
          <w:lang w:val="de-DE"/>
        </w:rPr>
        <w:t>n</w:t>
      </w:r>
      <w:r>
        <w:rPr>
          <w:b w:val="0"/>
          <w:bCs/>
          <w:sz w:val="24"/>
          <w:szCs w:val="24"/>
          <w:lang w:val="de-DE"/>
        </w:rPr>
        <w:t xml:space="preserve"> sei KSB unverändert „Trendsetter“ und im Übrigen auf die Anforderungen von Industrie 4.0 gut vorbereitet, unterstrich Dr. Peter Buthmann die Zukunftsfähigkeit des </w:t>
      </w:r>
      <w:r>
        <w:rPr>
          <w:b w:val="0"/>
          <w:bCs/>
          <w:sz w:val="24"/>
          <w:szCs w:val="24"/>
          <w:lang w:val="de-DE"/>
        </w:rPr>
        <w:lastRenderedPageBreak/>
        <w:t xml:space="preserve">Unternehmens. </w:t>
      </w:r>
    </w:p>
    <w:p w:rsidR="004D25A8" w:rsidRDefault="004D25A8" w:rsidP="004D25A8">
      <w:pPr>
        <w:pStyle w:val="titel"/>
        <w:spacing w:line="360" w:lineRule="auto"/>
        <w:ind w:right="2692"/>
        <w:jc w:val="both"/>
        <w:rPr>
          <w:b w:val="0"/>
          <w:bCs/>
          <w:sz w:val="24"/>
          <w:szCs w:val="24"/>
          <w:lang w:val="de-DE"/>
        </w:rPr>
      </w:pPr>
    </w:p>
    <w:p w:rsidR="004D25A8" w:rsidRDefault="004D25A8" w:rsidP="00540AD3">
      <w:pPr>
        <w:pStyle w:val="titel"/>
        <w:spacing w:line="360" w:lineRule="auto"/>
        <w:ind w:right="2692"/>
        <w:jc w:val="both"/>
        <w:rPr>
          <w:b w:val="0"/>
          <w:bCs/>
          <w:sz w:val="24"/>
          <w:szCs w:val="24"/>
          <w:lang w:val="de-DE"/>
        </w:rPr>
      </w:pPr>
      <w:r>
        <w:rPr>
          <w:b w:val="0"/>
          <w:bCs/>
          <w:sz w:val="24"/>
          <w:szCs w:val="24"/>
          <w:lang w:val="de-DE"/>
        </w:rPr>
        <w:t>Gegründet 1871 in Frankenthal (Pfalz) ist KSB heute ein international führender Hers</w:t>
      </w:r>
      <w:r w:rsidR="00141752">
        <w:rPr>
          <w:b w:val="0"/>
          <w:bCs/>
          <w:sz w:val="24"/>
          <w:szCs w:val="24"/>
          <w:lang w:val="de-DE"/>
        </w:rPr>
        <w:t xml:space="preserve">teller von Pumpen und Armaturen mit einem Umsatz von rund 2,2 Mrd. €. </w:t>
      </w:r>
      <w:r>
        <w:rPr>
          <w:b w:val="0"/>
          <w:bCs/>
          <w:sz w:val="24"/>
          <w:szCs w:val="24"/>
          <w:lang w:val="de-DE"/>
        </w:rPr>
        <w:t>Das Unternehmen be</w:t>
      </w:r>
      <w:r>
        <w:rPr>
          <w:b w:val="0"/>
          <w:bCs/>
          <w:sz w:val="24"/>
          <w:szCs w:val="24"/>
          <w:lang w:val="de-DE"/>
        </w:rPr>
        <w:lastRenderedPageBreak/>
        <w:t>schäftigt mehr als 16.000 Mitar</w:t>
      </w:r>
      <w:r w:rsidR="00141752">
        <w:rPr>
          <w:b w:val="0"/>
          <w:bCs/>
          <w:sz w:val="24"/>
          <w:szCs w:val="24"/>
          <w:lang w:val="de-DE"/>
        </w:rPr>
        <w:softHyphen/>
      </w:r>
      <w:r>
        <w:rPr>
          <w:b w:val="0"/>
          <w:bCs/>
          <w:sz w:val="24"/>
          <w:szCs w:val="24"/>
          <w:lang w:val="de-DE"/>
        </w:rPr>
        <w:t xml:space="preserve">beiter. Aktuell sind die Vorzugs- und Stammaktien im General Standard notiert. Rund </w:t>
      </w:r>
      <w:r w:rsidR="00540AD3">
        <w:rPr>
          <w:b w:val="0"/>
          <w:bCs/>
          <w:sz w:val="24"/>
          <w:szCs w:val="24"/>
          <w:lang w:val="de-DE"/>
        </w:rPr>
        <w:t xml:space="preserve">80 Prozent der Stammaktien sind, über die Klein Pumpen GmbH, </w:t>
      </w:r>
      <w:r>
        <w:rPr>
          <w:b w:val="0"/>
          <w:bCs/>
          <w:sz w:val="24"/>
          <w:szCs w:val="24"/>
          <w:lang w:val="de-DE"/>
        </w:rPr>
        <w:t>im Besitz der ge</w:t>
      </w:r>
      <w:r>
        <w:rPr>
          <w:b w:val="0"/>
          <w:bCs/>
          <w:sz w:val="24"/>
          <w:szCs w:val="24"/>
          <w:lang w:val="de-DE"/>
        </w:rPr>
        <w:lastRenderedPageBreak/>
        <w:t xml:space="preserve">meinnützigen KSB Stiftung. </w:t>
      </w:r>
    </w:p>
    <w:p w:rsidR="001853F1" w:rsidRDefault="001853F1" w:rsidP="00540AD3">
      <w:pPr>
        <w:pStyle w:val="titel"/>
        <w:spacing w:line="360" w:lineRule="auto"/>
        <w:ind w:right="2692"/>
        <w:jc w:val="both"/>
        <w:rPr>
          <w:b w:val="0"/>
          <w:bCs/>
          <w:sz w:val="24"/>
          <w:szCs w:val="24"/>
          <w:lang w:val="de-DE"/>
        </w:rPr>
      </w:pPr>
    </w:p>
    <w:p w:rsidR="008F6D4D" w:rsidRPr="00EB3E0D" w:rsidRDefault="008F6D4D" w:rsidP="006441D7">
      <w:pPr>
        <w:pStyle w:val="titel"/>
        <w:spacing w:line="360" w:lineRule="auto"/>
        <w:ind w:right="2692"/>
        <w:jc w:val="both"/>
        <w:rPr>
          <w:b w:val="0"/>
          <w:szCs w:val="24"/>
          <w:lang w:val="de-DE"/>
        </w:rPr>
      </w:pPr>
    </w:p>
    <w:sectPr w:rsidR="008F6D4D" w:rsidRPr="00EB3E0D" w:rsidSect="002E5B94">
      <w:headerReference w:type="default" r:id="rId7"/>
      <w:footerReference w:type="default" r:id="rId8"/>
      <w:pgSz w:w="11906" w:h="16838"/>
      <w:pgMar w:top="2950" w:right="0" w:bottom="1702" w:left="1276" w:header="568"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0184" w:rsidRDefault="00D90184">
      <w:r>
        <w:separator/>
      </w:r>
    </w:p>
  </w:endnote>
  <w:endnote w:type="continuationSeparator" w:id="0">
    <w:p w:rsidR="00D90184" w:rsidRDefault="00D901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Roman">
    <w:panose1 w:val="00000000000000000000"/>
    <w:charset w:val="4D"/>
    <w:family w:val="auto"/>
    <w:notTrueType/>
    <w:pitch w:val="default"/>
    <w:sig w:usb0="03000000"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3909" w:rsidRDefault="00EF3909" w:rsidP="002E5B94">
    <w:pPr>
      <w:pStyle w:val="Fuzeile"/>
      <w:ind w:left="1276"/>
    </w:pPr>
  </w:p>
  <w:p w:rsidR="00EF3909" w:rsidRDefault="00641AFA" w:rsidP="002E5B94">
    <w:pPr>
      <w:pStyle w:val="Fuzeile"/>
      <w:tabs>
        <w:tab w:val="clear" w:pos="4536"/>
        <w:tab w:val="center" w:pos="4395"/>
        <w:tab w:val="right" w:pos="5529"/>
      </w:tabs>
    </w:pPr>
    <w:r>
      <w:rPr>
        <w:noProof/>
      </w:rPr>
      <w:drawing>
        <wp:inline distT="0" distB="0" distL="0" distR="0">
          <wp:extent cx="2777490" cy="474345"/>
          <wp:effectExtent l="0" t="0" r="0" b="0"/>
          <wp:docPr id="3" name="Bild 3" descr="tes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est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7490" cy="474345"/>
                  </a:xfrm>
                  <a:prstGeom prst="rect">
                    <a:avLst/>
                  </a:prstGeom>
                  <a:noFill/>
                  <a:ln>
                    <a:noFill/>
                  </a:ln>
                </pic:spPr>
              </pic:pic>
            </a:graphicData>
          </a:graphic>
        </wp:inline>
      </w:drawing>
    </w:r>
    <w:r>
      <w:rPr>
        <w:noProof/>
        <w:w w:val="100"/>
      </w:rPr>
      <mc:AlternateContent>
        <mc:Choice Requires="wps">
          <w:drawing>
            <wp:anchor distT="0" distB="0" distL="114300" distR="114300" simplePos="0" relativeHeight="251658240" behindDoc="0" locked="0" layoutInCell="1" allowOverlap="1">
              <wp:simplePos x="0" y="0"/>
              <wp:positionH relativeFrom="column">
                <wp:posOffset>-1905</wp:posOffset>
              </wp:positionH>
              <wp:positionV relativeFrom="paragraph">
                <wp:posOffset>-65405</wp:posOffset>
              </wp:positionV>
              <wp:extent cx="4914900" cy="5080"/>
              <wp:effectExtent l="8255" t="10160" r="10795" b="13335"/>
              <wp:wrapNone/>
              <wp:docPr id="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6C0D77" id="Line 3"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URm4IFgIAACwEAAAOAAAAAAAAAAAAAAAAAC4CAABkcnMvZTJvRG9jLnhtbFBLAQItABQABgAI&#10;AAAAIQA7fa2n3gAAAAgBAAAPAAAAAAAAAAAAAAAAAHAEAABkcnMvZG93bnJldi54bWxQSwUGAAAA&#10;AAQABADzAAAAewUAAAAA&#10;" strokecolor="silver" strokeweight="1p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0184" w:rsidRDefault="00D90184">
      <w:r>
        <w:separator/>
      </w:r>
    </w:p>
  </w:footnote>
  <w:footnote w:type="continuationSeparator" w:id="0">
    <w:p w:rsidR="00D90184" w:rsidRDefault="00D9018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3909" w:rsidRDefault="00EF3909" w:rsidP="002E5B94">
    <w:pPr>
      <w:pStyle w:val="Kopfzeile"/>
      <w:tabs>
        <w:tab w:val="clear" w:pos="4536"/>
        <w:tab w:val="clear" w:pos="9072"/>
        <w:tab w:val="right" w:pos="9639"/>
        <w:tab w:val="right" w:pos="10915"/>
      </w:tabs>
      <w:ind w:right="991"/>
    </w:pPr>
    <w:r>
      <w:tab/>
    </w:r>
    <w:r w:rsidR="00641AFA">
      <w:rPr>
        <w:noProof/>
      </w:rPr>
      <w:drawing>
        <wp:inline distT="0" distB="0" distL="0" distR="0">
          <wp:extent cx="1052195" cy="466090"/>
          <wp:effectExtent l="0" t="0" r="0"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52195" cy="466090"/>
                  </a:xfrm>
                  <a:prstGeom prst="rect">
                    <a:avLst/>
                  </a:prstGeom>
                  <a:noFill/>
                  <a:ln>
                    <a:noFill/>
                  </a:ln>
                </pic:spPr>
              </pic:pic>
            </a:graphicData>
          </a:graphic>
        </wp:inline>
      </w:drawing>
    </w:r>
  </w:p>
  <w:p w:rsidR="00EF3909" w:rsidRPr="00286437" w:rsidRDefault="00641AFA" w:rsidP="002E5B94">
    <w:pPr>
      <w:pStyle w:val="datum"/>
      <w:tabs>
        <w:tab w:val="clear" w:pos="1701"/>
        <w:tab w:val="right" w:pos="9214"/>
      </w:tabs>
      <w:ind w:left="0"/>
    </w:pPr>
    <w:r>
      <w:rPr>
        <w:noProof/>
      </w:rPr>
      <w:drawing>
        <wp:inline distT="0" distB="0" distL="0" distR="0">
          <wp:extent cx="2665730" cy="233045"/>
          <wp:effectExtent l="0" t="0" r="0" b="0"/>
          <wp:docPr id="2" name="Bild 2" descr="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est"/>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665730" cy="233045"/>
                  </a:xfrm>
                  <a:prstGeom prst="rect">
                    <a:avLst/>
                  </a:prstGeom>
                  <a:noFill/>
                  <a:ln>
                    <a:noFill/>
                  </a:ln>
                </pic:spPr>
              </pic:pic>
            </a:graphicData>
          </a:graphic>
        </wp:inline>
      </w:drawing>
    </w:r>
  </w:p>
  <w:p w:rsidR="00EF3909" w:rsidRPr="00286437" w:rsidRDefault="00641AFA" w:rsidP="002E5B94">
    <w:pPr>
      <w:pStyle w:val="datum"/>
      <w:tabs>
        <w:tab w:val="clear" w:pos="1701"/>
        <w:tab w:val="right" w:pos="7938"/>
      </w:tabs>
      <w:ind w:left="0"/>
    </w:pPr>
    <w:r>
      <w:rPr>
        <w:noProof/>
      </w:rPr>
      <mc:AlternateContent>
        <mc:Choice Requires="wps">
          <w:drawing>
            <wp:anchor distT="0" distB="0" distL="114300" distR="114300" simplePos="0" relativeHeight="251657216" behindDoc="0" locked="0" layoutInCell="1" allowOverlap="1">
              <wp:simplePos x="0" y="0"/>
              <wp:positionH relativeFrom="column">
                <wp:posOffset>5715</wp:posOffset>
              </wp:positionH>
              <wp:positionV relativeFrom="paragraph">
                <wp:posOffset>80645</wp:posOffset>
              </wp:positionV>
              <wp:extent cx="5029200" cy="0"/>
              <wp:effectExtent l="6350" t="6985" r="12700" b="12065"/>
              <wp:wrapNone/>
              <wp:docPr id="5"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443872" id="Line 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6.35pt" to="396.45pt,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" strokecolor="silver" strokeweight="1pt"/>
          </w:pict>
        </mc:Fallback>
      </mc:AlternateContent>
    </w:r>
    <w:r w:rsidR="00EF3909" w:rsidRPr="00286437">
      <w:tab/>
    </w:r>
  </w:p>
  <w:p w:rsidR="00EF3909" w:rsidRPr="00286437" w:rsidRDefault="00EF3909" w:rsidP="002E5B94">
    <w:pPr>
      <w:pStyle w:val="datum"/>
      <w:tabs>
        <w:tab w:val="clear" w:pos="1701"/>
        <w:tab w:val="right" w:pos="7938"/>
      </w:tabs>
      <w:ind w:left="0"/>
    </w:pPr>
    <w:r w:rsidRPr="0074731E">
      <w:rPr>
        <w:b/>
        <w:color w:val="808080"/>
      </w:rPr>
      <w:t>KSB Konzern</w:t>
    </w:r>
    <w:r>
      <w:t xml:space="preserve"> </w:t>
    </w:r>
    <w:r>
      <w:tab/>
      <w:t xml:space="preserve">30. Juli </w:t>
    </w:r>
    <w:r w:rsidRPr="00286437">
      <w:t>20</w:t>
    </w:r>
    <w:r>
      <w:t>15</w:t>
    </w:r>
    <w:r w:rsidRPr="00286437">
      <w:t xml:space="preserve"> / </w:t>
    </w:r>
    <w:r>
      <w:t>Seite</w:t>
    </w:r>
    <w:r w:rsidRPr="00286437">
      <w:t xml:space="preserv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641AFA">
      <w:rPr>
        <w:noProof/>
      </w:rPr>
      <w:t>1</w:t>
    </w:r>
    <w:r w:rsidRPr="00286437">
      <w:fldChar w:fldCharType="end"/>
    </w:r>
    <w:r w:rsidRPr="00286437">
      <w:t>/</w:t>
    </w:r>
    <w:r w:rsidRPr="00286437">
      <w:fldChar w:fldCharType="begin"/>
    </w:r>
    <w:r w:rsidRPr="00286437">
      <w:instrText xml:space="preserve"> </w:instrText>
    </w:r>
    <w:r>
      <w:instrText>NUMPAGES</w:instrText>
    </w:r>
    <w:r w:rsidRPr="00286437">
      <w:instrText xml:space="preserve">  \* MERGEFORMAT </w:instrText>
    </w:r>
    <w:r w:rsidRPr="00286437">
      <w:fldChar w:fldCharType="separate"/>
    </w:r>
    <w:r w:rsidR="00641AFA">
      <w:rPr>
        <w:noProof/>
      </w:rPr>
      <w:t>1</w:t>
    </w:r>
    <w:r w:rsidRPr="00286437">
      <w:fldChar w:fldCharType="end"/>
    </w:r>
  </w:p>
  <w:p w:rsidR="00EF3909" w:rsidRDefault="00EF3909" w:rsidP="002E5B94">
    <w:pPr>
      <w:pStyle w:val="Kopfzeile"/>
      <w:tabs>
        <w:tab w:val="clear" w:pos="4536"/>
        <w:tab w:val="clear" w:pos="9072"/>
        <w:tab w:val="right" w:pos="9214"/>
        <w:tab w:val="right" w:pos="10915"/>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attachedTemplate r:id="rId1"/>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cumentProtection w:edit="readOnly" w:enforcement="1" w:cryptProviderType="rsaAES" w:cryptAlgorithmClass="hash" w:cryptAlgorithmType="typeAny" w:cryptAlgorithmSid="14" w:cryptSpinCount="100000" w:hash="8F/AC+erkZtFsE87dgFhE6Zz6+BtubwS+7DrB1N3zu1Jlf9QB1pZjaDflIBR2mUjf+JTQLDJ9vkvc0L5nB5xDw==" w:salt="8Wjo/VFY528Nl2sN6XgvKg=="/>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3074">
      <o:colormenu v:ext="edit" strokecolor="silver"/>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3749"/>
    <w:rsid w:val="00002027"/>
    <w:rsid w:val="00011E95"/>
    <w:rsid w:val="00014E8C"/>
    <w:rsid w:val="000203C0"/>
    <w:rsid w:val="000438CA"/>
    <w:rsid w:val="000444AC"/>
    <w:rsid w:val="00057553"/>
    <w:rsid w:val="00060628"/>
    <w:rsid w:val="00090121"/>
    <w:rsid w:val="00090C2E"/>
    <w:rsid w:val="0009454F"/>
    <w:rsid w:val="000B0E5B"/>
    <w:rsid w:val="000B395B"/>
    <w:rsid w:val="000D48A9"/>
    <w:rsid w:val="000E3D56"/>
    <w:rsid w:val="000F6C1E"/>
    <w:rsid w:val="001029C4"/>
    <w:rsid w:val="001074CE"/>
    <w:rsid w:val="0012348C"/>
    <w:rsid w:val="00141752"/>
    <w:rsid w:val="00142AEE"/>
    <w:rsid w:val="00151282"/>
    <w:rsid w:val="00174B6A"/>
    <w:rsid w:val="00184B6A"/>
    <w:rsid w:val="0018508A"/>
    <w:rsid w:val="001853F1"/>
    <w:rsid w:val="00187391"/>
    <w:rsid w:val="00193B38"/>
    <w:rsid w:val="00193B5B"/>
    <w:rsid w:val="001C081A"/>
    <w:rsid w:val="001C0A58"/>
    <w:rsid w:val="001C1CC2"/>
    <w:rsid w:val="001C55E8"/>
    <w:rsid w:val="001E112F"/>
    <w:rsid w:val="00200FA8"/>
    <w:rsid w:val="00210B9E"/>
    <w:rsid w:val="0021138A"/>
    <w:rsid w:val="0021310D"/>
    <w:rsid w:val="002209AE"/>
    <w:rsid w:val="0026507F"/>
    <w:rsid w:val="00267245"/>
    <w:rsid w:val="00267D5C"/>
    <w:rsid w:val="0027499A"/>
    <w:rsid w:val="00277346"/>
    <w:rsid w:val="00277C31"/>
    <w:rsid w:val="00281DFB"/>
    <w:rsid w:val="002828A7"/>
    <w:rsid w:val="00286A8E"/>
    <w:rsid w:val="00294882"/>
    <w:rsid w:val="0029580D"/>
    <w:rsid w:val="002A1694"/>
    <w:rsid w:val="002B26CC"/>
    <w:rsid w:val="002B2D35"/>
    <w:rsid w:val="002D236F"/>
    <w:rsid w:val="002D658A"/>
    <w:rsid w:val="002E2647"/>
    <w:rsid w:val="002E5B94"/>
    <w:rsid w:val="00304BFA"/>
    <w:rsid w:val="0035690C"/>
    <w:rsid w:val="0039583B"/>
    <w:rsid w:val="003A2959"/>
    <w:rsid w:val="003B272A"/>
    <w:rsid w:val="003D435D"/>
    <w:rsid w:val="003D66DF"/>
    <w:rsid w:val="003E0275"/>
    <w:rsid w:val="003E23AA"/>
    <w:rsid w:val="003E48D1"/>
    <w:rsid w:val="003E53C3"/>
    <w:rsid w:val="004171A4"/>
    <w:rsid w:val="00422FE8"/>
    <w:rsid w:val="004311C2"/>
    <w:rsid w:val="00432DAF"/>
    <w:rsid w:val="00434D50"/>
    <w:rsid w:val="0046407D"/>
    <w:rsid w:val="004B0C87"/>
    <w:rsid w:val="004D098A"/>
    <w:rsid w:val="004D25A8"/>
    <w:rsid w:val="004D48CE"/>
    <w:rsid w:val="004E3B35"/>
    <w:rsid w:val="004E6790"/>
    <w:rsid w:val="004F16C0"/>
    <w:rsid w:val="004F51FC"/>
    <w:rsid w:val="00501A17"/>
    <w:rsid w:val="00503B2B"/>
    <w:rsid w:val="00526B31"/>
    <w:rsid w:val="00540AD3"/>
    <w:rsid w:val="00541D96"/>
    <w:rsid w:val="00582345"/>
    <w:rsid w:val="00592F27"/>
    <w:rsid w:val="005C216E"/>
    <w:rsid w:val="005C4896"/>
    <w:rsid w:val="00612AA7"/>
    <w:rsid w:val="00621F70"/>
    <w:rsid w:val="0062745B"/>
    <w:rsid w:val="00630C8E"/>
    <w:rsid w:val="00641AFA"/>
    <w:rsid w:val="006441D7"/>
    <w:rsid w:val="0065122D"/>
    <w:rsid w:val="0065522D"/>
    <w:rsid w:val="00655653"/>
    <w:rsid w:val="00661A50"/>
    <w:rsid w:val="0069276E"/>
    <w:rsid w:val="006A09ED"/>
    <w:rsid w:val="006B00D8"/>
    <w:rsid w:val="006B778C"/>
    <w:rsid w:val="006D7B95"/>
    <w:rsid w:val="0070282E"/>
    <w:rsid w:val="007210DC"/>
    <w:rsid w:val="007242CD"/>
    <w:rsid w:val="00726670"/>
    <w:rsid w:val="007346BF"/>
    <w:rsid w:val="00736079"/>
    <w:rsid w:val="0077195E"/>
    <w:rsid w:val="007765DD"/>
    <w:rsid w:val="00786FD7"/>
    <w:rsid w:val="007E0046"/>
    <w:rsid w:val="007E62EB"/>
    <w:rsid w:val="00800339"/>
    <w:rsid w:val="00805C6D"/>
    <w:rsid w:val="008142CE"/>
    <w:rsid w:val="00815E4F"/>
    <w:rsid w:val="00817CF9"/>
    <w:rsid w:val="00836327"/>
    <w:rsid w:val="00840BF4"/>
    <w:rsid w:val="008410B6"/>
    <w:rsid w:val="008441E1"/>
    <w:rsid w:val="00845139"/>
    <w:rsid w:val="00853561"/>
    <w:rsid w:val="00853749"/>
    <w:rsid w:val="008550F2"/>
    <w:rsid w:val="00855840"/>
    <w:rsid w:val="00867D30"/>
    <w:rsid w:val="00871763"/>
    <w:rsid w:val="00874CE7"/>
    <w:rsid w:val="00875165"/>
    <w:rsid w:val="00895A72"/>
    <w:rsid w:val="008977E7"/>
    <w:rsid w:val="008A7725"/>
    <w:rsid w:val="008D7FD3"/>
    <w:rsid w:val="008E1D3F"/>
    <w:rsid w:val="008E720B"/>
    <w:rsid w:val="008F6D4D"/>
    <w:rsid w:val="00902B01"/>
    <w:rsid w:val="009172C8"/>
    <w:rsid w:val="0093355D"/>
    <w:rsid w:val="00942BCB"/>
    <w:rsid w:val="009534E9"/>
    <w:rsid w:val="00960094"/>
    <w:rsid w:val="009655FD"/>
    <w:rsid w:val="0096579D"/>
    <w:rsid w:val="00993948"/>
    <w:rsid w:val="009A3BA1"/>
    <w:rsid w:val="009B111E"/>
    <w:rsid w:val="009D2C89"/>
    <w:rsid w:val="009E38EE"/>
    <w:rsid w:val="00A0217F"/>
    <w:rsid w:val="00A37291"/>
    <w:rsid w:val="00A60C21"/>
    <w:rsid w:val="00A7114F"/>
    <w:rsid w:val="00A7482C"/>
    <w:rsid w:val="00A9258D"/>
    <w:rsid w:val="00AA0677"/>
    <w:rsid w:val="00AB5B8B"/>
    <w:rsid w:val="00AC0B88"/>
    <w:rsid w:val="00AC18F8"/>
    <w:rsid w:val="00AD4702"/>
    <w:rsid w:val="00AE588B"/>
    <w:rsid w:val="00AF7E5C"/>
    <w:rsid w:val="00B03749"/>
    <w:rsid w:val="00B04BCE"/>
    <w:rsid w:val="00B22836"/>
    <w:rsid w:val="00B265C1"/>
    <w:rsid w:val="00B26BCD"/>
    <w:rsid w:val="00B27909"/>
    <w:rsid w:val="00B37EA0"/>
    <w:rsid w:val="00B44AF7"/>
    <w:rsid w:val="00B7616A"/>
    <w:rsid w:val="00B9262D"/>
    <w:rsid w:val="00BA568E"/>
    <w:rsid w:val="00BB08B2"/>
    <w:rsid w:val="00BC5A0F"/>
    <w:rsid w:val="00BD1476"/>
    <w:rsid w:val="00BE0DDD"/>
    <w:rsid w:val="00BE2B9A"/>
    <w:rsid w:val="00BE46B1"/>
    <w:rsid w:val="00C12D0C"/>
    <w:rsid w:val="00C16415"/>
    <w:rsid w:val="00C20FAB"/>
    <w:rsid w:val="00C27E91"/>
    <w:rsid w:val="00C34F6B"/>
    <w:rsid w:val="00C75B45"/>
    <w:rsid w:val="00CB6AF5"/>
    <w:rsid w:val="00CC23D6"/>
    <w:rsid w:val="00D06FFD"/>
    <w:rsid w:val="00D13570"/>
    <w:rsid w:val="00D24634"/>
    <w:rsid w:val="00D24DDB"/>
    <w:rsid w:val="00D26E38"/>
    <w:rsid w:val="00D30AB0"/>
    <w:rsid w:val="00D376BD"/>
    <w:rsid w:val="00D502FF"/>
    <w:rsid w:val="00D6389D"/>
    <w:rsid w:val="00D649D3"/>
    <w:rsid w:val="00D66180"/>
    <w:rsid w:val="00D6710B"/>
    <w:rsid w:val="00D67616"/>
    <w:rsid w:val="00D74431"/>
    <w:rsid w:val="00D7497D"/>
    <w:rsid w:val="00D90184"/>
    <w:rsid w:val="00D977F6"/>
    <w:rsid w:val="00DB1191"/>
    <w:rsid w:val="00DB4C2A"/>
    <w:rsid w:val="00DD0923"/>
    <w:rsid w:val="00DD0BE4"/>
    <w:rsid w:val="00DD3F85"/>
    <w:rsid w:val="00DD7397"/>
    <w:rsid w:val="00E00A61"/>
    <w:rsid w:val="00E01AC6"/>
    <w:rsid w:val="00E208B8"/>
    <w:rsid w:val="00E237D3"/>
    <w:rsid w:val="00E5343E"/>
    <w:rsid w:val="00E62866"/>
    <w:rsid w:val="00E62C81"/>
    <w:rsid w:val="00E655B5"/>
    <w:rsid w:val="00E66BCD"/>
    <w:rsid w:val="00E8774B"/>
    <w:rsid w:val="00E87765"/>
    <w:rsid w:val="00E96F37"/>
    <w:rsid w:val="00EA2333"/>
    <w:rsid w:val="00EB3E0D"/>
    <w:rsid w:val="00EC0A04"/>
    <w:rsid w:val="00EE2871"/>
    <w:rsid w:val="00EF0CFE"/>
    <w:rsid w:val="00EF3909"/>
    <w:rsid w:val="00F00042"/>
    <w:rsid w:val="00F06CBA"/>
    <w:rsid w:val="00F06E12"/>
    <w:rsid w:val="00F12DF2"/>
    <w:rsid w:val="00F2296B"/>
    <w:rsid w:val="00F74253"/>
    <w:rsid w:val="00FA7FC1"/>
    <w:rsid w:val="00FC28E0"/>
    <w:rsid w:val="00FC69E4"/>
    <w:rsid w:val="00FE1B2F"/>
    <w:rsid w:val="00FE2580"/>
    <w:rsid w:val="00FF2CCF"/>
    <w:rsid w:val="00FF5B3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colormenu v:ext="edit" strokecolor="silver"/>
    </o:shapedefaults>
    <o:shapelayout v:ext="edit">
      <o:idmap v:ext="edit" data="2"/>
    </o:shapelayout>
  </w:shapeDefaults>
  <w:doNotEmbedSmartTags/>
  <w:decimalSymbol w:val=","/>
  <w:listSeparator w:val=";"/>
  <w15:chartTrackingRefBased/>
  <w15:docId w15:val="{D687C3BC-06F9-4F77-AC67-BFBB45D03D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w w:val="50"/>
      <w:sz w:val="24"/>
    </w:rPr>
  </w:style>
  <w:style w:type="character" w:default="1" w:styleId="Absatz-Standardschriftart">
    <w:name w:val="Default Paragraph Font"/>
  </w:style>
  <w:style w:type="table" w:default="1" w:styleId="NormaleTabelle">
    <w:name w:val="Normal Table"/>
    <w:semiHidden/>
    <w:rPr>
      <w:lang w:bidi="ar-SA"/>
    </w:rPr>
    <w:tblPr>
      <w:tblInd w:w="0" w:type="dxa"/>
      <w:tblCellMar>
        <w:top w:w="0" w:type="dxa"/>
        <w:left w:w="108" w:type="dxa"/>
        <w:bottom w:w="0" w:type="dxa"/>
        <w:right w:w="108" w:type="dxa"/>
      </w:tblCellMar>
    </w:tblPr>
  </w:style>
  <w:style w:type="numbering" w:default="1" w:styleId="KeineListe">
    <w:name w:val="No List"/>
    <w:semiHidden/>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lang w:val="fr-FR"/>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lang w:val="fr-FR"/>
    </w:rPr>
  </w:style>
  <w:style w:type="paragraph" w:styleId="Funotentext">
    <w:name w:val="footnote text"/>
    <w:basedOn w:val="Standard"/>
    <w:semiHidden/>
    <w:rsid w:val="001E112F"/>
    <w:rPr>
      <w:sz w:val="20"/>
    </w:rPr>
  </w:style>
  <w:style w:type="character" w:styleId="Funotenzeichen">
    <w:name w:val="footnote reference"/>
    <w:basedOn w:val="Absatz-Standardschriftart"/>
    <w:semiHidden/>
    <w:rsid w:val="001E112F"/>
    <w:rPr>
      <w:vertAlign w:val="superscript"/>
    </w:rPr>
  </w:style>
  <w:style w:type="character" w:styleId="Hyperlink">
    <w:name w:val="Hyperlink"/>
    <w:basedOn w:val="Absatz-Standardschriftart"/>
    <w:rsid w:val="00D1357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4623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wmf"/></Relationships>
</file>

<file path=word/_rels/header1.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D:\DATA\bingull\Vorlagen\0Pers&#246;nlich\PI%20neu%20deutsch.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1A22E46-3DC3-4F5A-82A0-7B1C834C4E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PI neu deutsch</Template>
  <TotalTime>0</TotalTime>
  <Pages>1</Pages>
  <Words>167</Words>
  <Characters>1056</Characters>
  <Application>Microsoft Office Word</Application>
  <DocSecurity>8</DocSecurity>
  <Lines>8</Lines>
  <Paragraphs>2</Paragraphs>
  <ScaleCrop>false</ScaleCrop>
  <HeadingPairs>
    <vt:vector size="2" baseType="variant">
      <vt:variant>
        <vt:lpstr>Titel</vt:lpstr>
      </vt:variant>
      <vt:variant>
        <vt:i4>1</vt:i4>
      </vt:variant>
    </vt:vector>
  </HeadingPairs>
  <TitlesOfParts>
    <vt:vector size="1" baseType="lpstr">
      <vt:lpstr>Ergebnis um mehr als  40 Prozent verbessert</vt:lpstr>
    </vt:vector>
  </TitlesOfParts>
  <Company>KSB AG</Company>
  <LinksUpToDate>false</LinksUpToDate>
  <CharactersWithSpaces>1221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Ergebnis um mehr als  40 Prozent verbessert</dc:title>
  <dc:subject/>
  <dc:creator>Ullrich Bingenheimer</dc:creator>
  <cp:keywords/>
  <cp:lastModifiedBy>Stiefler, Julia</cp:lastModifiedBy>
  <cp:revision>2</cp:revision>
  <cp:lastPrinted>2015-07-29T13:59:00Z</cp:lastPrinted>
  <dcterms:created xsi:type="dcterms:W3CDTF">2021-03-08T08:09:00Z</dcterms:created>
  <dcterms:modified xsi:type="dcterms:W3CDTF">2021-03-08T08:09:00Z</dcterms:modified>
</cp:coreProperties>
</file>