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C066" w14:textId="77777777" w:rsidR="00C9620A" w:rsidRPr="007654A8" w:rsidRDefault="008A73E3" w:rsidP="00C739CA">
      <w:pPr>
        <w:jc w:val="both"/>
        <w:rPr>
          <w:b/>
          <w:sz w:val="24"/>
          <w:szCs w:val="24"/>
        </w:rPr>
      </w:pPr>
      <w:r w:rsidRPr="007654A8">
        <w:rPr>
          <w:b/>
          <w:sz w:val="24"/>
          <w:szCs w:val="24"/>
        </w:rPr>
        <w:t>New Hydraulically Driven Mobile Flood Control Pumps</w:t>
      </w:r>
    </w:p>
    <w:p w14:paraId="6A5ECC30" w14:textId="77777777" w:rsidR="00C9620A" w:rsidRPr="007654A8" w:rsidRDefault="00C9620A" w:rsidP="00C739CA">
      <w:pPr>
        <w:jc w:val="both"/>
        <w:rPr>
          <w:sz w:val="24"/>
          <w:szCs w:val="24"/>
        </w:rPr>
      </w:pPr>
    </w:p>
    <w:p w14:paraId="51CC440C" w14:textId="58A16253" w:rsidR="00051730" w:rsidRPr="007654A8" w:rsidRDefault="00C9620A" w:rsidP="00C739CA">
      <w:pPr>
        <w:jc w:val="both"/>
        <w:rPr>
          <w:sz w:val="24"/>
          <w:szCs w:val="24"/>
        </w:rPr>
      </w:pPr>
      <w:r w:rsidRPr="007654A8">
        <w:rPr>
          <w:sz w:val="24"/>
          <w:szCs w:val="24"/>
        </w:rPr>
        <w:t xml:space="preserve">Frankenthal, </w:t>
      </w:r>
      <w:r w:rsidR="00AF5F6C" w:rsidRPr="007654A8">
        <w:rPr>
          <w:sz w:val="24"/>
          <w:szCs w:val="24"/>
        </w:rPr>
        <w:t>November</w:t>
      </w:r>
      <w:r w:rsidRPr="007654A8">
        <w:rPr>
          <w:sz w:val="24"/>
          <w:szCs w:val="24"/>
        </w:rPr>
        <w:t xml:space="preserve"> 202</w:t>
      </w:r>
      <w:r w:rsidR="00DA7492" w:rsidRPr="007654A8">
        <w:rPr>
          <w:sz w:val="24"/>
          <w:szCs w:val="24"/>
        </w:rPr>
        <w:t>6</w:t>
      </w:r>
      <w:r w:rsidRPr="007654A8">
        <w:rPr>
          <w:sz w:val="24"/>
          <w:szCs w:val="24"/>
        </w:rPr>
        <w:t xml:space="preserve"> – With its hydraulically driven mobile submersible motor pump of the ISP type series, PT KSB Indonesia is offering a complete system specially developed for mobile use in flooded areas. </w:t>
      </w:r>
    </w:p>
    <w:p w14:paraId="245B6ECE" w14:textId="77777777" w:rsidR="00051730" w:rsidRPr="007654A8" w:rsidRDefault="00051730" w:rsidP="00C739CA">
      <w:pPr>
        <w:jc w:val="both"/>
        <w:rPr>
          <w:sz w:val="24"/>
          <w:szCs w:val="24"/>
        </w:rPr>
      </w:pPr>
    </w:p>
    <w:p w14:paraId="13D6C5DA" w14:textId="2DCC69C5" w:rsidR="00051730" w:rsidRPr="007654A8" w:rsidRDefault="002977BA" w:rsidP="00C739CA">
      <w:pPr>
        <w:jc w:val="both"/>
        <w:rPr>
          <w:sz w:val="24"/>
          <w:szCs w:val="24"/>
        </w:rPr>
      </w:pPr>
      <w:r w:rsidRPr="007654A8">
        <w:rPr>
          <w:sz w:val="24"/>
          <w:szCs w:val="24"/>
        </w:rPr>
        <w:t xml:space="preserve">This technology not only allows for a very compact system design; it also makes the system highly reliable under extreme conditions, as electrical motors do not drive the pumps. Hydraulic motors are much lighter compared with electrical motors and offering better mobility due to their </w:t>
      </w:r>
      <w:r w:rsidR="00986664" w:rsidRPr="007654A8">
        <w:rPr>
          <w:sz w:val="24"/>
          <w:szCs w:val="24"/>
        </w:rPr>
        <w:t>weight</w:t>
      </w:r>
      <w:r w:rsidRPr="007654A8">
        <w:rPr>
          <w:sz w:val="24"/>
          <w:szCs w:val="24"/>
        </w:rPr>
        <w:t>. Thanks to the hydraulic drive concept employed, two pumps can be driven by a single hydraulic drive unit. This is a decisive advantage when large volumes of floodwater need to be pumped in a quick and continuous manner.</w:t>
      </w:r>
    </w:p>
    <w:p w14:paraId="55ED7A02" w14:textId="77777777" w:rsidR="002977BA" w:rsidRPr="007654A8" w:rsidRDefault="002977BA" w:rsidP="00C739CA">
      <w:pPr>
        <w:jc w:val="both"/>
        <w:rPr>
          <w:sz w:val="24"/>
          <w:szCs w:val="24"/>
        </w:rPr>
      </w:pPr>
    </w:p>
    <w:p w14:paraId="3170FE5C" w14:textId="6DE9BE34" w:rsidR="00D659D5" w:rsidRPr="007654A8" w:rsidRDefault="00C9620A" w:rsidP="00C739CA">
      <w:pPr>
        <w:jc w:val="both"/>
        <w:rPr>
          <w:sz w:val="24"/>
          <w:szCs w:val="24"/>
        </w:rPr>
      </w:pPr>
      <w:r w:rsidRPr="007654A8">
        <w:rPr>
          <w:sz w:val="24"/>
          <w:szCs w:val="24"/>
        </w:rPr>
        <w:t>The system, that is available with various power ratings, reaches flow rates of up to 1000 litres per second at a head of at least six metres. In dual configuration</w:t>
      </w:r>
      <w:r w:rsidR="00986664" w:rsidRPr="007654A8">
        <w:rPr>
          <w:sz w:val="24"/>
          <w:szCs w:val="24"/>
        </w:rPr>
        <w:t>,</w:t>
      </w:r>
      <w:r w:rsidRPr="007654A8">
        <w:rPr>
          <w:sz w:val="24"/>
          <w:szCs w:val="24"/>
        </w:rPr>
        <w:t xml:space="preserve"> the flow rate can even be doubled. </w:t>
      </w:r>
    </w:p>
    <w:p w14:paraId="56DAD1CF" w14:textId="77777777" w:rsidR="00D659D5" w:rsidRPr="007654A8" w:rsidRDefault="00D659D5" w:rsidP="00C739CA">
      <w:pPr>
        <w:jc w:val="both"/>
        <w:rPr>
          <w:sz w:val="24"/>
          <w:szCs w:val="24"/>
        </w:rPr>
      </w:pPr>
    </w:p>
    <w:p w14:paraId="23AFC97E" w14:textId="3E46494F" w:rsidR="00D659D5" w:rsidRPr="007654A8" w:rsidRDefault="00C9620A" w:rsidP="00C739CA">
      <w:pPr>
        <w:jc w:val="both"/>
        <w:rPr>
          <w:sz w:val="24"/>
          <w:szCs w:val="24"/>
        </w:rPr>
      </w:pPr>
      <w:r w:rsidRPr="007654A8">
        <w:rPr>
          <w:sz w:val="24"/>
          <w:szCs w:val="24"/>
        </w:rPr>
        <w:t>The ISP type series has been designed for immediate use: It is available pre-mounted on a trailer or truck and ready for operation within minutes. An integrated jib crane makes handling and setting up at the site easy. The robust design with corrosion-resistant materials, such as stainless steel, and impellers</w:t>
      </w:r>
      <w:r w:rsidR="00DE5487" w:rsidRPr="007654A8">
        <w:rPr>
          <w:sz w:val="24"/>
          <w:szCs w:val="24"/>
        </w:rPr>
        <w:t xml:space="preserve"> suitable for floodwater pumping</w:t>
      </w:r>
      <w:r w:rsidRPr="007654A8">
        <w:rPr>
          <w:sz w:val="24"/>
          <w:szCs w:val="24"/>
        </w:rPr>
        <w:t xml:space="preserve"> ensure reliable pumping</w:t>
      </w:r>
      <w:r w:rsidR="00340403" w:rsidRPr="007654A8">
        <w:rPr>
          <w:sz w:val="24"/>
          <w:szCs w:val="24"/>
        </w:rPr>
        <w:t>.</w:t>
      </w:r>
      <w:r w:rsidR="00E0258C" w:rsidRPr="007654A8">
        <w:rPr>
          <w:sz w:val="24"/>
          <w:szCs w:val="24"/>
        </w:rPr>
        <w:t xml:space="preserve"> </w:t>
      </w:r>
      <w:r w:rsidR="0066337E" w:rsidRPr="007654A8">
        <w:rPr>
          <w:sz w:val="24"/>
          <w:szCs w:val="24"/>
        </w:rPr>
        <w:t>S</w:t>
      </w:r>
      <w:r w:rsidR="00E0258C" w:rsidRPr="007654A8">
        <w:rPr>
          <w:sz w:val="24"/>
          <w:szCs w:val="24"/>
        </w:rPr>
        <w:t>uction strainers limit the size of solids to a maximum of 40 mm.</w:t>
      </w:r>
    </w:p>
    <w:p w14:paraId="29D1B1B4" w14:textId="77777777" w:rsidR="00D659D5" w:rsidRPr="007654A8" w:rsidRDefault="00D659D5" w:rsidP="00C739CA">
      <w:pPr>
        <w:jc w:val="both"/>
        <w:rPr>
          <w:sz w:val="24"/>
          <w:szCs w:val="24"/>
        </w:rPr>
      </w:pPr>
    </w:p>
    <w:p w14:paraId="6C9B1271" w14:textId="11316F6A" w:rsidR="00D659D5" w:rsidRPr="007654A8" w:rsidRDefault="00711603" w:rsidP="00C739CA">
      <w:pPr>
        <w:jc w:val="both"/>
        <w:rPr>
          <w:sz w:val="24"/>
          <w:szCs w:val="24"/>
        </w:rPr>
      </w:pPr>
      <w:r w:rsidRPr="007654A8">
        <w:rPr>
          <w:sz w:val="24"/>
          <w:szCs w:val="24"/>
        </w:rPr>
        <w:t>The pumps are delivered pre-set to the required duty point</w:t>
      </w:r>
      <w:r w:rsidR="00E0258C" w:rsidRPr="007654A8">
        <w:rPr>
          <w:sz w:val="24"/>
          <w:szCs w:val="24"/>
        </w:rPr>
        <w:t xml:space="preserve">. </w:t>
      </w:r>
      <w:r w:rsidRPr="007654A8">
        <w:rPr>
          <w:sz w:val="24"/>
          <w:szCs w:val="24"/>
        </w:rPr>
        <w:t xml:space="preserve">The mobile all-in solution reduces the need for additional equipment as it includes components such as </w:t>
      </w:r>
      <w:r w:rsidR="00657A9E" w:rsidRPr="007654A8">
        <w:rPr>
          <w:sz w:val="24"/>
          <w:szCs w:val="24"/>
        </w:rPr>
        <w:t xml:space="preserve">discharge </w:t>
      </w:r>
      <w:r w:rsidRPr="007654A8">
        <w:rPr>
          <w:sz w:val="24"/>
          <w:szCs w:val="24"/>
        </w:rPr>
        <w:t xml:space="preserve">hose systems and housing. </w:t>
      </w:r>
    </w:p>
    <w:p w14:paraId="141F60E8" w14:textId="77777777" w:rsidR="00324426" w:rsidRPr="007654A8" w:rsidRDefault="00324426" w:rsidP="00C739CA">
      <w:pPr>
        <w:jc w:val="both"/>
        <w:rPr>
          <w:sz w:val="24"/>
          <w:szCs w:val="24"/>
        </w:rPr>
      </w:pPr>
    </w:p>
    <w:p w14:paraId="12D54E78" w14:textId="6B98B68D" w:rsidR="00C9620A" w:rsidRPr="007654A8" w:rsidRDefault="00324426" w:rsidP="00C739CA">
      <w:pPr>
        <w:jc w:val="both"/>
        <w:rPr>
          <w:sz w:val="24"/>
          <w:szCs w:val="24"/>
        </w:rPr>
      </w:pPr>
      <w:r w:rsidRPr="007654A8">
        <w:rPr>
          <w:sz w:val="24"/>
          <w:szCs w:val="24"/>
        </w:rPr>
        <w:t>Optionally, the pumps can also be operated from a pontoon</w:t>
      </w:r>
      <w:r w:rsidR="00657A9E" w:rsidRPr="007654A8">
        <w:rPr>
          <w:sz w:val="24"/>
          <w:szCs w:val="24"/>
        </w:rPr>
        <w:t xml:space="preserve"> as well as with floaters</w:t>
      </w:r>
      <w:r w:rsidRPr="007654A8">
        <w:rPr>
          <w:sz w:val="24"/>
          <w:szCs w:val="24"/>
        </w:rPr>
        <w:t xml:space="preserve">. Maintenance </w:t>
      </w:r>
      <w:r w:rsidR="00986664" w:rsidRPr="007654A8">
        <w:rPr>
          <w:sz w:val="24"/>
          <w:szCs w:val="24"/>
        </w:rPr>
        <w:t>expenses</w:t>
      </w:r>
      <w:r w:rsidRPr="007654A8">
        <w:rPr>
          <w:sz w:val="24"/>
          <w:szCs w:val="24"/>
        </w:rPr>
        <w:t xml:space="preserve"> are low thanks to the product's high quality. The local production site in Indonesia </w:t>
      </w:r>
      <w:r w:rsidR="00986664" w:rsidRPr="007654A8">
        <w:rPr>
          <w:sz w:val="24"/>
          <w:szCs w:val="24"/>
        </w:rPr>
        <w:t>can</w:t>
      </w:r>
      <w:r w:rsidRPr="007654A8">
        <w:rPr>
          <w:sz w:val="24"/>
          <w:szCs w:val="24"/>
        </w:rPr>
        <w:t xml:space="preserve"> quickly adapt the system to customer-specific requirements</w:t>
      </w:r>
      <w:r w:rsidR="00986664" w:rsidRPr="007654A8">
        <w:rPr>
          <w:sz w:val="24"/>
          <w:szCs w:val="24"/>
        </w:rPr>
        <w:t>,</w:t>
      </w:r>
      <w:r w:rsidRPr="007654A8">
        <w:rPr>
          <w:sz w:val="24"/>
          <w:szCs w:val="24"/>
        </w:rPr>
        <w:t xml:space="preserve"> with quality assurance provided by local testing facilities.</w:t>
      </w:r>
    </w:p>
    <w:p w14:paraId="1C300F30" w14:textId="77777777" w:rsidR="00C9620A" w:rsidRPr="007654A8" w:rsidRDefault="00C9620A" w:rsidP="00C739CA">
      <w:pPr>
        <w:jc w:val="both"/>
        <w:rPr>
          <w:sz w:val="24"/>
          <w:szCs w:val="24"/>
        </w:rPr>
      </w:pPr>
    </w:p>
    <w:p w14:paraId="7AC363C0" w14:textId="77777777" w:rsidR="00C9620A" w:rsidRPr="007654A8" w:rsidRDefault="00C739CA" w:rsidP="00C739CA">
      <w:pPr>
        <w:jc w:val="both"/>
        <w:rPr>
          <w:sz w:val="24"/>
          <w:szCs w:val="24"/>
        </w:rPr>
      </w:pPr>
      <w:r w:rsidRPr="007654A8">
        <w:rPr>
          <w:sz w:val="24"/>
          <w:szCs w:val="24"/>
        </w:rPr>
        <w:t>With the ISP type series</w:t>
      </w:r>
      <w:r w:rsidR="001E1C1B" w:rsidRPr="007654A8">
        <w:rPr>
          <w:sz w:val="24"/>
          <w:szCs w:val="24"/>
        </w:rPr>
        <w:t>,</w:t>
      </w:r>
      <w:r w:rsidRPr="007654A8">
        <w:rPr>
          <w:sz w:val="24"/>
          <w:szCs w:val="24"/>
        </w:rPr>
        <w:t xml:space="preserve"> the KSB Group offers a technically advanced solution </w:t>
      </w:r>
      <w:r w:rsidR="001E1C1B" w:rsidRPr="007654A8">
        <w:rPr>
          <w:sz w:val="24"/>
          <w:szCs w:val="24"/>
        </w:rPr>
        <w:t xml:space="preserve">of </w:t>
      </w:r>
      <w:r w:rsidRPr="007654A8">
        <w:rPr>
          <w:sz w:val="24"/>
          <w:szCs w:val="24"/>
        </w:rPr>
        <w:t>mobile flood pumps that are characterised by their high flow rates, flexible use and immediate readiness for operation in flood control and urban water management.</w:t>
      </w:r>
    </w:p>
    <w:p w14:paraId="34D6A93F" w14:textId="77777777" w:rsidR="00C739CA" w:rsidRPr="007654A8" w:rsidRDefault="00C739CA" w:rsidP="007654A8">
      <w:pPr>
        <w:ind w:left="-567" w:right="-1134"/>
        <w:jc w:val="both"/>
        <w:rPr>
          <w:sz w:val="24"/>
          <w:szCs w:val="24"/>
        </w:rPr>
      </w:pPr>
    </w:p>
    <w:p w14:paraId="77ED4BA5" w14:textId="77777777" w:rsidR="00A200F5" w:rsidRPr="007654A8" w:rsidRDefault="001147DD" w:rsidP="00A200F5">
      <w:pPr>
        <w:ind w:right="-1"/>
        <w:jc w:val="both"/>
        <w:rPr>
          <w:sz w:val="24"/>
          <w:szCs w:val="24"/>
        </w:rPr>
      </w:pPr>
      <w:r w:rsidRPr="007654A8">
        <w:rPr>
          <w:sz w:val="24"/>
          <w:szCs w:val="24"/>
        </w:rPr>
        <w:t xml:space="preserve">Illustration: </w:t>
      </w:r>
      <w:r w:rsidR="001E1C1B" w:rsidRPr="007654A8">
        <w:rPr>
          <w:sz w:val="24"/>
          <w:szCs w:val="24"/>
        </w:rPr>
        <w:t xml:space="preserve">KSB’s </w:t>
      </w:r>
      <w:r w:rsidRPr="007654A8">
        <w:rPr>
          <w:sz w:val="24"/>
          <w:szCs w:val="24"/>
        </w:rPr>
        <w:t>mobile flood control system</w:t>
      </w:r>
      <w:r w:rsidR="001E1C1B" w:rsidRPr="007654A8">
        <w:rPr>
          <w:sz w:val="24"/>
          <w:szCs w:val="24"/>
        </w:rPr>
        <w:t xml:space="preserve"> comprising </w:t>
      </w:r>
      <w:r w:rsidRPr="007654A8">
        <w:rPr>
          <w:sz w:val="24"/>
          <w:szCs w:val="24"/>
        </w:rPr>
        <w:t xml:space="preserve">ISP </w:t>
      </w:r>
      <w:r w:rsidR="001E1C1B" w:rsidRPr="007654A8">
        <w:rPr>
          <w:sz w:val="24"/>
          <w:szCs w:val="24"/>
        </w:rPr>
        <w:t>pumps</w:t>
      </w:r>
      <w:r w:rsidRPr="007654A8">
        <w:rPr>
          <w:sz w:val="24"/>
          <w:szCs w:val="24"/>
        </w:rPr>
        <w:t xml:space="preserve"> </w:t>
      </w:r>
      <w:r w:rsidR="00DE5487" w:rsidRPr="007654A8">
        <w:rPr>
          <w:sz w:val="24"/>
          <w:szCs w:val="24"/>
        </w:rPr>
        <w:t xml:space="preserve">are </w:t>
      </w:r>
      <w:r w:rsidRPr="007654A8">
        <w:rPr>
          <w:sz w:val="24"/>
          <w:szCs w:val="24"/>
        </w:rPr>
        <w:t>pre-mounted on a trailer or truck and ready to use within minutes. © KSB SE &amp; Co. KGaA</w:t>
      </w:r>
    </w:p>
    <w:p w14:paraId="1F28D68C" w14:textId="77777777" w:rsidR="00A200F5" w:rsidRDefault="00A200F5" w:rsidP="00A200F5">
      <w:pPr>
        <w:ind w:right="-1"/>
        <w:jc w:val="both"/>
      </w:pPr>
    </w:p>
    <w:p w14:paraId="4B7BBA7D" w14:textId="5A531DDA" w:rsidR="00A200F5" w:rsidRDefault="00A200F5" w:rsidP="00A200F5">
      <w:pPr>
        <w:ind w:right="-1"/>
        <w:jc w:val="both"/>
        <w:rPr>
          <w:i/>
          <w:snapToGrid w:val="0"/>
          <w:color w:val="000000"/>
          <w:sz w:val="18"/>
          <w:szCs w:val="18"/>
        </w:rPr>
      </w:pPr>
      <w:r>
        <w:rPr>
          <w:i/>
          <w:snapToGrid w:val="0"/>
          <w:color w:val="000000" w:themeColor="text1"/>
          <w:sz w:val="18"/>
        </w:rPr>
        <w:t>KSB is a leading international manufacturer of pumps and valves. The Frankenthal-based Group has a presence on five continents with its own sales and marketing organisations, manufacturing facilities and service operations. With a workforce of around 16,</w:t>
      </w:r>
      <w:r>
        <w:rPr>
          <w:i/>
          <w:snapToGrid w:val="0"/>
          <w:color w:val="000000" w:themeColor="text1"/>
          <w:sz w:val="18"/>
        </w:rPr>
        <w:t>8</w:t>
      </w:r>
      <w:r>
        <w:rPr>
          <w:i/>
          <w:snapToGrid w:val="0"/>
          <w:color w:val="000000" w:themeColor="text1"/>
          <w:sz w:val="18"/>
        </w:rPr>
        <w:t>00, the KSB Group generated sales revenue of approximately € 3 billion in the 202</w:t>
      </w:r>
      <w:r>
        <w:rPr>
          <w:i/>
          <w:snapToGrid w:val="0"/>
          <w:color w:val="000000" w:themeColor="text1"/>
          <w:sz w:val="18"/>
        </w:rPr>
        <w:t>5</w:t>
      </w:r>
      <w:r>
        <w:rPr>
          <w:i/>
          <w:snapToGrid w:val="0"/>
          <w:color w:val="000000" w:themeColor="text1"/>
          <w:sz w:val="18"/>
        </w:rPr>
        <w:t xml:space="preserve"> financial year.</w:t>
      </w:r>
    </w:p>
    <w:sectPr w:rsidR="00A200F5" w:rsidSect="007654A8">
      <w:headerReference w:type="even" r:id="rId9"/>
      <w:headerReference w:type="default" r:id="rId10"/>
      <w:footerReference w:type="default" r:id="rId11"/>
      <w:headerReference w:type="first" r:id="rId12"/>
      <w:footerReference w:type="first" r:id="rId13"/>
      <w:pgSz w:w="11906" w:h="16838" w:code="9"/>
      <w:pgMar w:top="1276" w:right="1416" w:bottom="1276" w:left="1701" w:header="567" w:footer="0" w:gutter="0"/>
      <w:cols w:space="720"/>
      <w:titlePg/>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675C" w14:textId="77777777" w:rsidR="005D4E28" w:rsidRDefault="005D4E28">
      <w:r>
        <w:separator/>
      </w:r>
    </w:p>
  </w:endnote>
  <w:endnote w:type="continuationSeparator" w:id="0">
    <w:p w14:paraId="1C7104D3" w14:textId="77777777" w:rsidR="005D4E28" w:rsidRDefault="005D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CellMar>
        <w:left w:w="0" w:type="dxa"/>
        <w:right w:w="0" w:type="dxa"/>
      </w:tblCellMar>
      <w:tblLook w:val="0000" w:firstRow="0" w:lastRow="0" w:firstColumn="0" w:lastColumn="0" w:noHBand="0" w:noVBand="0"/>
    </w:tblPr>
    <w:tblGrid>
      <w:gridCol w:w="9979"/>
    </w:tblGrid>
    <w:tr w:rsidR="00A4139C" w14:paraId="324A6D3C" w14:textId="77777777">
      <w:trPr>
        <w:trHeight w:hRule="exact" w:val="1320"/>
      </w:trPr>
      <w:tc>
        <w:tcPr>
          <w:tcW w:w="9979" w:type="dxa"/>
        </w:tcPr>
        <w:p w14:paraId="14EBB9FA" w14:textId="77777777" w:rsidR="00A4139C" w:rsidRDefault="00170D6E">
          <w:pPr>
            <w:pStyle w:val="Fuzeile"/>
          </w:pPr>
          <w:bookmarkStart w:id="1" w:name="Fusszeile"/>
          <w:r>
            <w:rPr>
              <w:noProof/>
              <w:lang w:val="de-DE"/>
            </w:rPr>
            <w:drawing>
              <wp:inline distT="0" distB="0" distL="0" distR="0" wp14:anchorId="2A77342C" wp14:editId="3A194783">
                <wp:extent cx="6322695" cy="855980"/>
                <wp:effectExtent l="0" t="0" r="1905" b="1270"/>
                <wp:docPr id="79161247" name="Bild 2" descr="Fuss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sszeile"/>
                        <pic:cNvPicPr>
                          <a:picLocks noChangeAspect="1" noChangeArrowheads="1"/>
                        </pic:cNvPicPr>
                      </pic:nvPicPr>
                      <pic:blipFill>
                        <a:blip r:embed="rId1">
                          <a:lum bright="100000"/>
                          <a:extLst>
                            <a:ext uri="{28A0092B-C50C-407E-A947-70E740481C1C}">
                              <a14:useLocalDpi xmlns:a14="http://schemas.microsoft.com/office/drawing/2010/main" val="0"/>
                            </a:ext>
                          </a:extLst>
                        </a:blip>
                        <a:srcRect/>
                        <a:stretch>
                          <a:fillRect/>
                        </a:stretch>
                      </pic:blipFill>
                      <pic:spPr bwMode="auto">
                        <a:xfrm>
                          <a:off x="0" y="0"/>
                          <a:ext cx="6322695" cy="855980"/>
                        </a:xfrm>
                        <a:prstGeom prst="rect">
                          <a:avLst/>
                        </a:prstGeom>
                        <a:noFill/>
                        <a:ln>
                          <a:noFill/>
                        </a:ln>
                      </pic:spPr>
                    </pic:pic>
                  </a:graphicData>
                </a:graphic>
              </wp:inline>
            </w:drawing>
          </w:r>
          <w:bookmarkEnd w:id="1"/>
        </w:p>
      </w:tc>
    </w:tr>
  </w:tbl>
  <w:p w14:paraId="6C4D6039" w14:textId="77777777" w:rsidR="00A4139C" w:rsidRDefault="00A4139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92F3" w14:textId="77777777" w:rsidR="004C76AE" w:rsidRPr="00E43DFB" w:rsidRDefault="004C76AE" w:rsidP="004C76AE">
    <w:pPr>
      <w:tabs>
        <w:tab w:val="left" w:pos="2410"/>
        <w:tab w:val="left" w:pos="2694"/>
        <w:tab w:val="center" w:pos="4395"/>
        <w:tab w:val="right" w:pos="5529"/>
        <w:tab w:val="right" w:pos="9072"/>
      </w:tabs>
      <w:rPr>
        <w:rFonts w:cs="Times New Roman"/>
        <w:b/>
        <w:color w:val="00579D"/>
        <w:sz w:val="16"/>
        <w:szCs w:val="20"/>
      </w:rPr>
    </w:pPr>
    <w:r w:rsidRPr="00E43DFB">
      <w:rPr>
        <w:rFonts w:cs="Times New Roman"/>
        <w:b/>
        <w:noProof/>
        <w:color w:val="00579D"/>
        <w:sz w:val="16"/>
        <w:szCs w:val="20"/>
        <w:lang w:val="de-DE"/>
      </w:rPr>
      <mc:AlternateContent>
        <mc:Choice Requires="wps">
          <w:drawing>
            <wp:anchor distT="0" distB="0" distL="114300" distR="114300" simplePos="0" relativeHeight="251662336" behindDoc="0" locked="0" layoutInCell="1" allowOverlap="1" wp14:anchorId="572B37DE" wp14:editId="300B1D03">
              <wp:simplePos x="0" y="0"/>
              <wp:positionH relativeFrom="column">
                <wp:posOffset>-1905</wp:posOffset>
              </wp:positionH>
              <wp:positionV relativeFrom="paragraph">
                <wp:posOffset>-65405</wp:posOffset>
              </wp:positionV>
              <wp:extent cx="4914900" cy="5080"/>
              <wp:effectExtent l="7620" t="10795" r="11430"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5080"/>
                      </a:xfrm>
                      <a:prstGeom prst="line">
                        <a:avLst/>
                      </a:prstGeom>
                      <a:noFill/>
                      <a:ln w="1270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80D50"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5.15pt" to="386.8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" strokecolor="silver" strokeweight="1pt"/>
          </w:pict>
        </mc:Fallback>
      </mc:AlternateContent>
    </w:r>
    <w:r w:rsidRPr="00E43DFB">
      <w:rPr>
        <w:rFonts w:cs="Times New Roman"/>
        <w:b/>
        <w:color w:val="00579D"/>
        <w:sz w:val="16"/>
        <w:szCs w:val="20"/>
      </w:rPr>
      <w:t xml:space="preserve">Published by </w:t>
    </w:r>
    <w:r w:rsidRPr="00E43DFB">
      <w:rPr>
        <w:rFonts w:cs="Times New Roman"/>
        <w:b/>
        <w:color w:val="00579D"/>
        <w:sz w:val="16"/>
        <w:szCs w:val="20"/>
      </w:rPr>
      <w:tab/>
      <w:t>Contact</w:t>
    </w:r>
  </w:p>
  <w:p w14:paraId="040D3EAF" w14:textId="77777777" w:rsidR="004C76AE" w:rsidRPr="00E43DFB" w:rsidRDefault="004C76AE" w:rsidP="004C76AE">
    <w:pPr>
      <w:tabs>
        <w:tab w:val="left" w:pos="2410"/>
        <w:tab w:val="left" w:pos="2694"/>
        <w:tab w:val="center" w:pos="4395"/>
        <w:tab w:val="right" w:pos="5529"/>
        <w:tab w:val="right" w:pos="9072"/>
      </w:tabs>
      <w:rPr>
        <w:rFonts w:cs="Times New Roman"/>
        <w:color w:val="808080"/>
        <w:sz w:val="16"/>
        <w:szCs w:val="20"/>
        <w:lang w:val="en-US"/>
      </w:rPr>
    </w:pPr>
    <w:r w:rsidRPr="00E43DFB">
      <w:rPr>
        <w:rFonts w:cs="Times New Roman"/>
        <w:color w:val="808080"/>
        <w:sz w:val="16"/>
        <w:szCs w:val="20"/>
      </w:rPr>
      <w:t xml:space="preserve">KSB SE &amp; Co. </w:t>
    </w:r>
    <w:r w:rsidRPr="00E43DFB">
      <w:rPr>
        <w:rFonts w:cs="Times New Roman"/>
        <w:color w:val="808080"/>
        <w:sz w:val="16"/>
        <w:szCs w:val="20"/>
        <w:lang w:val="en-US"/>
      </w:rPr>
      <w:t>KGaA</w:t>
    </w:r>
    <w:r w:rsidRPr="00E43DFB">
      <w:rPr>
        <w:rFonts w:cs="Times New Roman"/>
        <w:color w:val="808080"/>
        <w:sz w:val="16"/>
        <w:szCs w:val="20"/>
        <w:lang w:val="en-US"/>
      </w:rPr>
      <w:tab/>
      <w:t>Christoph P. Pauly</w:t>
    </w:r>
  </w:p>
  <w:p w14:paraId="0B2A8137" w14:textId="77777777" w:rsidR="004C76AE" w:rsidRPr="00E43DFB" w:rsidRDefault="004C76AE" w:rsidP="004C76AE">
    <w:pPr>
      <w:tabs>
        <w:tab w:val="left" w:pos="2410"/>
        <w:tab w:val="left" w:pos="2694"/>
        <w:tab w:val="center" w:pos="4395"/>
        <w:tab w:val="right" w:pos="5529"/>
        <w:tab w:val="right" w:pos="9072"/>
      </w:tabs>
      <w:rPr>
        <w:rFonts w:cs="Times New Roman"/>
        <w:color w:val="808080"/>
        <w:sz w:val="16"/>
        <w:szCs w:val="20"/>
      </w:rPr>
    </w:pPr>
    <w:r w:rsidRPr="00E43DFB">
      <w:rPr>
        <w:rFonts w:cs="Times New Roman"/>
        <w:color w:val="808080"/>
        <w:sz w:val="16"/>
        <w:szCs w:val="20"/>
        <w:lang w:val="en-US"/>
      </w:rPr>
      <w:t xml:space="preserve">Press officer </w:t>
    </w:r>
    <w:r w:rsidRPr="00E43DFB">
      <w:rPr>
        <w:rFonts w:cs="Times New Roman"/>
        <w:color w:val="808080"/>
        <w:sz w:val="16"/>
        <w:szCs w:val="20"/>
        <w:lang w:val="en-US"/>
      </w:rPr>
      <w:tab/>
      <w:t xml:space="preserve">Tel. </w:t>
    </w:r>
    <w:r w:rsidRPr="00E43DFB">
      <w:rPr>
        <w:rFonts w:cs="Times New Roman"/>
        <w:color w:val="808080"/>
        <w:sz w:val="16"/>
        <w:szCs w:val="20"/>
      </w:rPr>
      <w:t xml:space="preserve">+ 49 6233 86-3702, </w:t>
    </w:r>
  </w:p>
  <w:p w14:paraId="78ABD2F3" w14:textId="77777777" w:rsidR="004C76AE" w:rsidRPr="00E43DFB" w:rsidRDefault="004C76AE" w:rsidP="004C76AE">
    <w:pPr>
      <w:tabs>
        <w:tab w:val="left" w:pos="2410"/>
        <w:tab w:val="left" w:pos="2694"/>
        <w:tab w:val="center" w:pos="4395"/>
        <w:tab w:val="right" w:pos="5529"/>
        <w:tab w:val="right" w:pos="9072"/>
      </w:tabs>
      <w:rPr>
        <w:rFonts w:cs="Times New Roman"/>
        <w:color w:val="808080"/>
        <w:sz w:val="16"/>
        <w:szCs w:val="20"/>
        <w:lang w:val="it-IT"/>
      </w:rPr>
    </w:pPr>
    <w:r w:rsidRPr="00E43DFB">
      <w:rPr>
        <w:rFonts w:cs="Times New Roman"/>
        <w:color w:val="808080"/>
        <w:sz w:val="16"/>
        <w:szCs w:val="20"/>
        <w:lang w:val="it-IT"/>
      </w:rPr>
      <w:t xml:space="preserve">67227 </w:t>
    </w:r>
    <w:proofErr w:type="spellStart"/>
    <w:r w:rsidRPr="00E43DFB">
      <w:rPr>
        <w:rFonts w:cs="Times New Roman"/>
        <w:color w:val="808080"/>
        <w:sz w:val="16"/>
        <w:szCs w:val="20"/>
        <w:lang w:val="it-IT"/>
      </w:rPr>
      <w:t>Frankenthal</w:t>
    </w:r>
    <w:proofErr w:type="spellEnd"/>
    <w:r w:rsidRPr="00E43DFB">
      <w:rPr>
        <w:rFonts w:cs="Times New Roman"/>
        <w:color w:val="808080"/>
        <w:sz w:val="16"/>
        <w:szCs w:val="20"/>
        <w:lang w:val="it-IT"/>
      </w:rPr>
      <w:tab/>
      <w:t>christoph.pauly@ksb.com</w:t>
    </w:r>
  </w:p>
  <w:p w14:paraId="72C8A86A" w14:textId="77777777" w:rsidR="004C76AE" w:rsidRPr="00E43DFB" w:rsidRDefault="004C76AE" w:rsidP="004C76AE">
    <w:pPr>
      <w:tabs>
        <w:tab w:val="left" w:pos="2410"/>
        <w:tab w:val="left" w:pos="2694"/>
        <w:tab w:val="center" w:pos="4395"/>
        <w:tab w:val="right" w:pos="5529"/>
        <w:tab w:val="right" w:pos="9072"/>
      </w:tabs>
      <w:rPr>
        <w:rFonts w:cs="Times New Roman"/>
        <w:color w:val="80808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28B0" w14:textId="77777777" w:rsidR="005D4E28" w:rsidRDefault="005D4E28">
      <w:r>
        <w:separator/>
      </w:r>
    </w:p>
  </w:footnote>
  <w:footnote w:type="continuationSeparator" w:id="0">
    <w:p w14:paraId="327FA2D9" w14:textId="77777777" w:rsidR="005D4E28" w:rsidRDefault="005D4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99C2" w14:textId="77777777" w:rsidR="00A4139C" w:rsidRDefault="0086737F">
    <w:pPr>
      <w:pStyle w:val="Kopfzeile"/>
      <w:framePr w:wrap="around" w:vAnchor="text" w:hAnchor="margin" w:xAlign="center" w:y="1"/>
      <w:rPr>
        <w:rStyle w:val="Seitenzahl"/>
      </w:rPr>
    </w:pPr>
    <w:r>
      <w:rPr>
        <w:rStyle w:val="Seitenzahl"/>
      </w:rPr>
      <w:fldChar w:fldCharType="begin"/>
    </w:r>
    <w:r w:rsidR="00A4139C">
      <w:rPr>
        <w:rStyle w:val="Seitenzahl"/>
      </w:rPr>
      <w:instrText xml:space="preserve">PAGE  </w:instrText>
    </w:r>
    <w:r>
      <w:rPr>
        <w:rStyle w:val="Seitenzahl"/>
      </w:rPr>
      <w:fldChar w:fldCharType="separate"/>
    </w:r>
    <w:r>
      <w:rPr>
        <w:rStyle w:val="Seitenzahl"/>
      </w:rPr>
      <w:t>1</w:t>
    </w:r>
    <w:r>
      <w:rPr>
        <w:rStyle w:val="Seitenzahl"/>
      </w:rPr>
      <w:fldChar w:fldCharType="end"/>
    </w:r>
  </w:p>
  <w:p w14:paraId="5ABF94DF" w14:textId="77777777" w:rsidR="00A4139C" w:rsidRDefault="00A4139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D7EE" w14:textId="77777777" w:rsidR="00A4139C" w:rsidRDefault="00A4139C">
    <w:pPr>
      <w:framePr w:w="567" w:wrap="around" w:vAnchor="text" w:hAnchor="margin" w:xAlign="center" w:y="1"/>
      <w:jc w:val="center"/>
    </w:pPr>
    <w:bookmarkStart w:id="0" w:name="Logo"/>
    <w:r>
      <w:t xml:space="preserve">- </w:t>
    </w:r>
    <w:r w:rsidR="00170D6E">
      <w:fldChar w:fldCharType="begin"/>
    </w:r>
    <w:r w:rsidR="00170D6E">
      <w:instrText xml:space="preserve"> PAGE </w:instrText>
    </w:r>
    <w:r w:rsidR="00170D6E">
      <w:fldChar w:fldCharType="separate"/>
    </w:r>
    <w:r>
      <w:t>2</w:t>
    </w:r>
    <w:r w:rsidR="00170D6E">
      <w:fldChar w:fldCharType="end"/>
    </w:r>
    <w:r>
      <w:t xml:space="preserve"> -</w:t>
    </w:r>
  </w:p>
  <w:p w14:paraId="7782CF1A" w14:textId="77777777" w:rsidR="00A4139C" w:rsidRDefault="00170D6E">
    <w:pPr>
      <w:pStyle w:val="Kopfzeile"/>
      <w:jc w:val="right"/>
    </w:pPr>
    <w:r>
      <w:rPr>
        <w:noProof/>
        <w:lang w:val="de-DE"/>
      </w:rPr>
      <w:drawing>
        <wp:inline distT="0" distB="0" distL="0" distR="0" wp14:anchorId="73A94D5C" wp14:editId="4109A7CD">
          <wp:extent cx="1190625" cy="513715"/>
          <wp:effectExtent l="0" t="0" r="9525" b="635"/>
          <wp:docPr id="1197938871" name="Bild 1" descr="KSB%20Logo_2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B%20Logo_2c_klein"/>
                  <pic:cNvPicPr>
                    <a:picLocks noChangeAspect="1" noChangeArrowheads="1"/>
                  </pic:cNvPicPr>
                </pic:nvPicPr>
                <pic:blipFill>
                  <a:blip r:embed="rId1">
                    <a:lum bright="100000"/>
                    <a:extLst>
                      <a:ext uri="{28A0092B-C50C-407E-A947-70E740481C1C}">
                        <a14:useLocalDpi xmlns:a14="http://schemas.microsoft.com/office/drawing/2010/main" val="0"/>
                      </a:ext>
                    </a:extLst>
                  </a:blip>
                  <a:srcRect/>
                  <a:stretch>
                    <a:fillRect/>
                  </a:stretch>
                </pic:blipFill>
                <pic:spPr bwMode="auto">
                  <a:xfrm>
                    <a:off x="0" y="0"/>
                    <a:ext cx="1190625" cy="513715"/>
                  </a:xfrm>
                  <a:prstGeom prst="rect">
                    <a:avLst/>
                  </a:prstGeom>
                  <a:noFill/>
                  <a:ln>
                    <a:noFill/>
                  </a:ln>
                </pic:spPr>
              </pic:pic>
            </a:graphicData>
          </a:graphic>
        </wp:inline>
      </w:drawing>
    </w:r>
    <w:bookmarkEnd w:id="0"/>
  </w:p>
  <w:p w14:paraId="70502323" w14:textId="77777777" w:rsidR="00A4139C" w:rsidRDefault="00A4139C">
    <w:pPr>
      <w:pStyle w:val="Kopfzeile"/>
      <w:jc w:val="right"/>
    </w:pPr>
  </w:p>
  <w:p w14:paraId="4D60D7F2" w14:textId="77777777" w:rsidR="00A4139C" w:rsidRDefault="00A4139C">
    <w:pPr>
      <w:pStyle w:val="Kopfzeile"/>
      <w:jc w:val="right"/>
    </w:pPr>
  </w:p>
  <w:p w14:paraId="17493DDA" w14:textId="77777777" w:rsidR="00A4139C" w:rsidRDefault="00A4139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4AE2" w14:textId="77777777" w:rsidR="004C76AE" w:rsidRPr="009C20F6" w:rsidRDefault="004C76AE" w:rsidP="004C76AE">
    <w:pPr>
      <w:tabs>
        <w:tab w:val="right" w:pos="9639"/>
        <w:tab w:val="right" w:pos="10915"/>
      </w:tabs>
      <w:ind w:right="-1"/>
      <w:rPr>
        <w:rFonts w:cs="Times New Roman"/>
        <w:sz w:val="24"/>
        <w:szCs w:val="20"/>
      </w:rPr>
    </w:pPr>
    <w:r w:rsidRPr="009C20F6">
      <w:rPr>
        <w:rFonts w:cs="Times New Roman"/>
        <w:noProof/>
        <w:sz w:val="24"/>
        <w:szCs w:val="20"/>
        <w:lang w:val="de-DE"/>
      </w:rPr>
      <w:drawing>
        <wp:anchor distT="0" distB="0" distL="114300" distR="114300" simplePos="0" relativeHeight="251660288" behindDoc="0" locked="0" layoutInCell="1" allowOverlap="1" wp14:anchorId="79941507" wp14:editId="40F7A5E1">
          <wp:simplePos x="0" y="0"/>
          <wp:positionH relativeFrom="margin">
            <wp:posOffset>-635</wp:posOffset>
          </wp:positionH>
          <wp:positionV relativeFrom="paragraph">
            <wp:posOffset>11430</wp:posOffset>
          </wp:positionV>
          <wp:extent cx="1406525" cy="400050"/>
          <wp:effectExtent l="0" t="0" r="3175" b="0"/>
          <wp:wrapSquare wrapText="bothSides"/>
          <wp:docPr id="192920844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6525" cy="400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C20F6">
      <w:rPr>
        <w:rFonts w:cs="Times New Roman"/>
        <w:sz w:val="24"/>
        <w:szCs w:val="20"/>
      </w:rPr>
      <w:tab/>
    </w:r>
  </w:p>
  <w:p w14:paraId="59209C69" w14:textId="77777777" w:rsidR="004C76AE" w:rsidRPr="009C20F6" w:rsidRDefault="004C76AE" w:rsidP="004C76AE">
    <w:pPr>
      <w:tabs>
        <w:tab w:val="right" w:pos="9214"/>
        <w:tab w:val="right" w:pos="10915"/>
      </w:tabs>
      <w:rPr>
        <w:rFonts w:cs="Times New Roman"/>
        <w:b/>
        <w:color w:val="00579D"/>
        <w:sz w:val="40"/>
        <w:szCs w:val="20"/>
      </w:rPr>
    </w:pPr>
  </w:p>
  <w:p w14:paraId="531D5FF4" w14:textId="77777777" w:rsidR="004C76AE" w:rsidRPr="009C20F6" w:rsidRDefault="004C76AE" w:rsidP="004C76AE">
    <w:pPr>
      <w:tabs>
        <w:tab w:val="right" w:pos="9214"/>
        <w:tab w:val="right" w:pos="10915"/>
      </w:tabs>
      <w:rPr>
        <w:rFonts w:cs="Times New Roman"/>
        <w:b/>
        <w:color w:val="00579D"/>
        <w:sz w:val="40"/>
        <w:szCs w:val="20"/>
      </w:rPr>
    </w:pPr>
  </w:p>
  <w:p w14:paraId="28F6FE7D" w14:textId="77777777" w:rsidR="004C76AE" w:rsidRPr="009C20F6" w:rsidRDefault="004C76AE" w:rsidP="004C76AE">
    <w:pPr>
      <w:tabs>
        <w:tab w:val="right" w:pos="9214"/>
        <w:tab w:val="right" w:pos="10915"/>
      </w:tabs>
      <w:rPr>
        <w:rFonts w:cs="Times New Roman"/>
        <w:b/>
        <w:color w:val="00579D"/>
        <w:sz w:val="40"/>
        <w:szCs w:val="20"/>
      </w:rPr>
    </w:pPr>
    <w:r w:rsidRPr="009C20F6">
      <w:rPr>
        <w:rFonts w:cs="Times New Roman"/>
        <w:b/>
        <w:color w:val="00579D"/>
        <w:sz w:val="40"/>
        <w:szCs w:val="20"/>
      </w:rPr>
      <w:t>Press Release</w:t>
    </w:r>
  </w:p>
  <w:p w14:paraId="268DDC00" w14:textId="77777777" w:rsidR="004C76AE" w:rsidRPr="009C20F6" w:rsidRDefault="004C76AE" w:rsidP="004C76AE">
    <w:pPr>
      <w:tabs>
        <w:tab w:val="right" w:pos="9214"/>
      </w:tabs>
      <w:rPr>
        <w:rFonts w:cs="Times New Roman"/>
        <w:sz w:val="18"/>
        <w:szCs w:val="20"/>
      </w:rPr>
    </w:pPr>
    <w:r w:rsidRPr="009C20F6">
      <w:rPr>
        <w:rFonts w:cs="Times New Roman"/>
        <w:noProof/>
        <w:sz w:val="18"/>
        <w:szCs w:val="20"/>
        <w:lang w:val="de-DE"/>
      </w:rPr>
      <mc:AlternateContent>
        <mc:Choice Requires="wps">
          <w:drawing>
            <wp:anchor distT="0" distB="0" distL="114300" distR="114300" simplePos="0" relativeHeight="251659264" behindDoc="0" locked="0" layoutInCell="1" allowOverlap="1" wp14:anchorId="77A377C9" wp14:editId="55374C0F">
              <wp:simplePos x="0" y="0"/>
              <wp:positionH relativeFrom="column">
                <wp:posOffset>5715</wp:posOffset>
              </wp:positionH>
              <wp:positionV relativeFrom="paragraph">
                <wp:posOffset>73025</wp:posOffset>
              </wp:positionV>
              <wp:extent cx="5029200" cy="0"/>
              <wp:effectExtent l="15240" t="6350" r="13335" b="12700"/>
              <wp:wrapNone/>
              <wp:docPr id="3403892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29200" cy="0"/>
                      </a:xfrm>
                      <a:prstGeom prst="line">
                        <a:avLst/>
                      </a:prstGeom>
                      <a:noFill/>
                      <a:ln w="1270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235C9" id="Line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75pt" to="396.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" strokecolor="silver" strokeweight="1pt"/>
          </w:pict>
        </mc:Fallback>
      </mc:AlternateContent>
    </w:r>
  </w:p>
  <w:p w14:paraId="2B3DB6A1" w14:textId="31779CC4" w:rsidR="004C76AE" w:rsidRPr="009C20F6" w:rsidRDefault="004C76AE" w:rsidP="004C76AE">
    <w:pPr>
      <w:pStyle w:val="Kopfzeile"/>
      <w:rPr>
        <w:noProof/>
        <w:color w:val="948A54" w:themeColor="background2" w:themeShade="80"/>
        <w:sz w:val="16"/>
        <w:szCs w:val="16"/>
      </w:rPr>
    </w:pPr>
    <w:r w:rsidRPr="009C20F6">
      <w:rPr>
        <w:rFonts w:cs="Times New Roman"/>
        <w:color w:val="808080"/>
        <w:sz w:val="16"/>
        <w:szCs w:val="20"/>
      </w:rPr>
      <w:t xml:space="preserve">KSB SE &amp; Co. </w:t>
    </w:r>
    <w:r w:rsidRPr="009C20F6">
      <w:rPr>
        <w:rFonts w:cs="Times New Roman"/>
        <w:color w:val="808080"/>
        <w:sz w:val="16"/>
        <w:szCs w:val="20"/>
        <w:lang w:val="en-US"/>
      </w:rPr>
      <w:t>KGaA</w:t>
    </w:r>
    <w:r>
      <w:rPr>
        <w:noProof/>
      </w:rPr>
      <w:t xml:space="preserve"> </w:t>
    </w:r>
    <w:r>
      <w:rPr>
        <w:noProof/>
      </w:rPr>
      <w:tab/>
    </w:r>
    <w:r w:rsidRPr="009C20F6">
      <w:rPr>
        <w:noProof/>
        <w:color w:val="948A54" w:themeColor="background2" w:themeShade="80"/>
        <w:sz w:val="16"/>
        <w:szCs w:val="16"/>
      </w:rPr>
      <w:fldChar w:fldCharType="begin"/>
    </w:r>
    <w:r w:rsidRPr="009C20F6">
      <w:rPr>
        <w:noProof/>
        <w:color w:val="948A54" w:themeColor="background2" w:themeShade="80"/>
        <w:sz w:val="16"/>
        <w:szCs w:val="16"/>
      </w:rPr>
      <w:instrText xml:space="preserve"> DATE  \@ "dddd, dd MMMM yyyy"  \* MERGEFORMAT </w:instrText>
    </w:r>
    <w:r w:rsidRPr="009C20F6">
      <w:rPr>
        <w:noProof/>
        <w:color w:val="948A54" w:themeColor="background2" w:themeShade="80"/>
        <w:sz w:val="16"/>
        <w:szCs w:val="16"/>
      </w:rPr>
      <w:fldChar w:fldCharType="separate"/>
    </w:r>
    <w:r w:rsidR="00A200F5">
      <w:rPr>
        <w:noProof/>
        <w:color w:val="948A54" w:themeColor="background2" w:themeShade="80"/>
        <w:sz w:val="16"/>
        <w:szCs w:val="16"/>
      </w:rPr>
      <w:t>Monday, 02 November 2026</w:t>
    </w:r>
    <w:r w:rsidRPr="009C20F6">
      <w:rPr>
        <w:noProof/>
        <w:color w:val="948A54" w:themeColor="background2" w:themeShade="80"/>
        <w:sz w:val="16"/>
        <w:szCs w:val="16"/>
      </w:rPr>
      <w:fldChar w:fldCharType="end"/>
    </w:r>
  </w:p>
  <w:p w14:paraId="6D2ABDDF" w14:textId="77777777" w:rsidR="00A4139C" w:rsidRDefault="00A4139C">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2E2"/>
    <w:rsid w:val="00010238"/>
    <w:rsid w:val="00051730"/>
    <w:rsid w:val="001147DD"/>
    <w:rsid w:val="00167D3E"/>
    <w:rsid w:val="00170D6E"/>
    <w:rsid w:val="00181B1D"/>
    <w:rsid w:val="001E1C1B"/>
    <w:rsid w:val="00216B95"/>
    <w:rsid w:val="00294F71"/>
    <w:rsid w:val="002977BA"/>
    <w:rsid w:val="00324426"/>
    <w:rsid w:val="00340403"/>
    <w:rsid w:val="0035667F"/>
    <w:rsid w:val="00377398"/>
    <w:rsid w:val="003A272A"/>
    <w:rsid w:val="003F02E2"/>
    <w:rsid w:val="00456076"/>
    <w:rsid w:val="004A6F3C"/>
    <w:rsid w:val="004C76AE"/>
    <w:rsid w:val="00514B86"/>
    <w:rsid w:val="00545EA2"/>
    <w:rsid w:val="00563D15"/>
    <w:rsid w:val="005D4E28"/>
    <w:rsid w:val="00657A9E"/>
    <w:rsid w:val="0066337E"/>
    <w:rsid w:val="00711603"/>
    <w:rsid w:val="0075625F"/>
    <w:rsid w:val="007654A8"/>
    <w:rsid w:val="00794F08"/>
    <w:rsid w:val="008528A2"/>
    <w:rsid w:val="008567C8"/>
    <w:rsid w:val="0086737F"/>
    <w:rsid w:val="008A73E3"/>
    <w:rsid w:val="008F0ADA"/>
    <w:rsid w:val="00915F5C"/>
    <w:rsid w:val="00986664"/>
    <w:rsid w:val="009B036D"/>
    <w:rsid w:val="009C1B34"/>
    <w:rsid w:val="00A200F5"/>
    <w:rsid w:val="00A4139C"/>
    <w:rsid w:val="00A42E08"/>
    <w:rsid w:val="00AF5F6C"/>
    <w:rsid w:val="00B06D61"/>
    <w:rsid w:val="00B12B4D"/>
    <w:rsid w:val="00B44C79"/>
    <w:rsid w:val="00B81545"/>
    <w:rsid w:val="00B90E93"/>
    <w:rsid w:val="00BD2622"/>
    <w:rsid w:val="00BD5DCB"/>
    <w:rsid w:val="00C739CA"/>
    <w:rsid w:val="00C82152"/>
    <w:rsid w:val="00C9620A"/>
    <w:rsid w:val="00D037F0"/>
    <w:rsid w:val="00D64234"/>
    <w:rsid w:val="00D659D5"/>
    <w:rsid w:val="00D8333E"/>
    <w:rsid w:val="00DA7492"/>
    <w:rsid w:val="00DE5487"/>
    <w:rsid w:val="00E0258C"/>
    <w:rsid w:val="00E22BFD"/>
    <w:rsid w:val="00E35697"/>
    <w:rsid w:val="00EE484F"/>
    <w:rsid w:val="00F71576"/>
    <w:rsid w:val="00F9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9B56E"/>
  <w15:chartTrackingRefBased/>
  <w15:docId w15:val="{4DC14546-08CA-4372-8EF1-F0841B95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6737F"/>
    <w:rPr>
      <w:rFonts w:ascii="Arial" w:hAnsi="Arial" w:cs="Arial"/>
      <w:sz w:val="22"/>
      <w:szCs w:val="22"/>
      <w:lang w:eastAsia="de-DE"/>
    </w:rPr>
  </w:style>
  <w:style w:type="paragraph" w:styleId="berschrift1">
    <w:name w:val="heading 1"/>
    <w:basedOn w:val="Standard"/>
    <w:next w:val="Standard"/>
    <w:qFormat/>
    <w:rsid w:val="0086737F"/>
    <w:pPr>
      <w:keepNext/>
      <w:spacing w:line="240" w:lineRule="exact"/>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6737F"/>
    <w:pPr>
      <w:tabs>
        <w:tab w:val="center" w:pos="4536"/>
        <w:tab w:val="right" w:pos="9072"/>
      </w:tabs>
    </w:pPr>
  </w:style>
  <w:style w:type="paragraph" w:styleId="Fuzeile">
    <w:name w:val="footer"/>
    <w:basedOn w:val="Standard"/>
    <w:link w:val="FuzeileZchn"/>
    <w:uiPriority w:val="99"/>
    <w:rsid w:val="0086737F"/>
    <w:pPr>
      <w:tabs>
        <w:tab w:val="center" w:pos="4536"/>
        <w:tab w:val="right" w:pos="9072"/>
      </w:tabs>
    </w:pPr>
  </w:style>
  <w:style w:type="paragraph" w:styleId="Textkrper">
    <w:name w:val="Body Text"/>
    <w:basedOn w:val="Standard"/>
    <w:rsid w:val="0086737F"/>
    <w:pPr>
      <w:spacing w:line="220" w:lineRule="exact"/>
    </w:pPr>
    <w:rPr>
      <w:sz w:val="16"/>
      <w:szCs w:val="16"/>
    </w:rPr>
  </w:style>
  <w:style w:type="character" w:styleId="Seitenzahl">
    <w:name w:val="page number"/>
    <w:basedOn w:val="Absatz-Standardschriftart"/>
    <w:rsid w:val="0086737F"/>
  </w:style>
  <w:style w:type="paragraph" w:styleId="berarbeitung">
    <w:name w:val="Revision"/>
    <w:hidden/>
    <w:uiPriority w:val="99"/>
    <w:semiHidden/>
    <w:rsid w:val="00F71576"/>
    <w:rPr>
      <w:rFonts w:ascii="Arial" w:hAnsi="Arial" w:cs="Arial"/>
      <w:sz w:val="22"/>
      <w:szCs w:val="22"/>
      <w:lang w:eastAsia="de-DE"/>
    </w:rPr>
  </w:style>
  <w:style w:type="character" w:styleId="Kommentarzeichen">
    <w:name w:val="annotation reference"/>
    <w:basedOn w:val="Absatz-Standardschriftart"/>
    <w:semiHidden/>
    <w:unhideWhenUsed/>
    <w:rsid w:val="00F71576"/>
    <w:rPr>
      <w:sz w:val="16"/>
      <w:szCs w:val="16"/>
    </w:rPr>
  </w:style>
  <w:style w:type="paragraph" w:styleId="Kommentartext">
    <w:name w:val="annotation text"/>
    <w:basedOn w:val="Standard"/>
    <w:link w:val="KommentartextZchn"/>
    <w:unhideWhenUsed/>
    <w:rsid w:val="00F71576"/>
    <w:rPr>
      <w:sz w:val="20"/>
      <w:szCs w:val="20"/>
    </w:rPr>
  </w:style>
  <w:style w:type="character" w:customStyle="1" w:styleId="KommentartextZchn">
    <w:name w:val="Kommentartext Zchn"/>
    <w:basedOn w:val="Absatz-Standardschriftart"/>
    <w:link w:val="Kommentartext"/>
    <w:rsid w:val="00F71576"/>
    <w:rPr>
      <w:rFonts w:ascii="Arial" w:hAnsi="Arial" w:cs="Arial"/>
      <w:lang w:eastAsia="de-DE"/>
    </w:rPr>
  </w:style>
  <w:style w:type="paragraph" w:styleId="Kommentarthema">
    <w:name w:val="annotation subject"/>
    <w:basedOn w:val="Kommentartext"/>
    <w:next w:val="Kommentartext"/>
    <w:link w:val="KommentarthemaZchn"/>
    <w:semiHidden/>
    <w:unhideWhenUsed/>
    <w:rsid w:val="00F71576"/>
    <w:rPr>
      <w:b/>
      <w:bCs/>
    </w:rPr>
  </w:style>
  <w:style w:type="character" w:customStyle="1" w:styleId="KommentarthemaZchn">
    <w:name w:val="Kommentarthema Zchn"/>
    <w:basedOn w:val="KommentartextZchn"/>
    <w:link w:val="Kommentarthema"/>
    <w:semiHidden/>
    <w:rsid w:val="00F71576"/>
    <w:rPr>
      <w:rFonts w:ascii="Arial" w:hAnsi="Arial" w:cs="Arial"/>
      <w:b/>
      <w:bCs/>
      <w:lang w:eastAsia="de-DE"/>
    </w:rPr>
  </w:style>
  <w:style w:type="paragraph" w:styleId="Sprechblasentext">
    <w:name w:val="Balloon Text"/>
    <w:basedOn w:val="Standard"/>
    <w:link w:val="SprechblasentextZchn"/>
    <w:semiHidden/>
    <w:unhideWhenUsed/>
    <w:rsid w:val="00377398"/>
    <w:rPr>
      <w:rFonts w:ascii="Segoe UI" w:hAnsi="Segoe UI" w:cs="Segoe UI"/>
      <w:sz w:val="18"/>
      <w:szCs w:val="18"/>
    </w:rPr>
  </w:style>
  <w:style w:type="character" w:customStyle="1" w:styleId="SprechblasentextZchn">
    <w:name w:val="Sprechblasentext Zchn"/>
    <w:basedOn w:val="Absatz-Standardschriftart"/>
    <w:link w:val="Sprechblasentext"/>
    <w:semiHidden/>
    <w:rsid w:val="00377398"/>
    <w:rPr>
      <w:rFonts w:ascii="Segoe UI" w:hAnsi="Segoe UI" w:cs="Segoe UI"/>
      <w:sz w:val="18"/>
      <w:szCs w:val="18"/>
      <w:lang w:eastAsia="de-DE"/>
    </w:rPr>
  </w:style>
  <w:style w:type="character" w:customStyle="1" w:styleId="KopfzeileZchn">
    <w:name w:val="Kopfzeile Zchn"/>
    <w:basedOn w:val="Absatz-Standardschriftart"/>
    <w:link w:val="Kopfzeile"/>
    <w:uiPriority w:val="99"/>
    <w:rsid w:val="004C76AE"/>
    <w:rPr>
      <w:rFonts w:ascii="Arial" w:hAnsi="Arial" w:cs="Arial"/>
      <w:sz w:val="22"/>
      <w:szCs w:val="22"/>
      <w:lang w:eastAsia="de-DE"/>
    </w:rPr>
  </w:style>
  <w:style w:type="character" w:customStyle="1" w:styleId="FuzeileZchn">
    <w:name w:val="Fußzeile Zchn"/>
    <w:basedOn w:val="Absatz-Standardschriftart"/>
    <w:link w:val="Fuzeile"/>
    <w:uiPriority w:val="99"/>
    <w:rsid w:val="004C76AE"/>
    <w:rPr>
      <w:rFonts w:ascii="Arial" w:hAnsi="Arial" w:cs="Arial"/>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EFADBE-014A-4546-BD33-0ED784A9EA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56DBAE-F49C-4512-B639-F3CD4169836E}">
  <ds:schemaRefs>
    <ds:schemaRef ds:uri="http://schemas.microsoft.com/sharepoint/v3/contenttype/forms"/>
  </ds:schemaRefs>
</ds:datastoreItem>
</file>

<file path=customXml/itemProps3.xml><?xml version="1.0" encoding="utf-8"?>
<ds:datastoreItem xmlns:ds="http://schemas.openxmlformats.org/officeDocument/2006/customXml" ds:itemID="{DDEB6F6B-884E-426A-8746-849A49B13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2365</Characters>
  <Application>Microsoft Office Word</Application>
  <DocSecurity>0</DocSecurity>
  <Lines>43</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KSB Aktiengesellschaft • Johann-Klein-Straße 9 • 67227 Frankenthal</vt:lpstr>
      <vt:lpstr>KSB Aktiengesellschaft • Johann-Klein-Straße 9 • 67227 Frankenthal</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KSB Aktiengesellschaft • Johann-Klein-Straße 9 • 67227 Frankenthal</dc:title>
  <dc:subject/>
  <dc:creator>Pauly, Christoph</dc:creator>
  <cp:keywords/>
  <dc:description/>
  <cp:lastModifiedBy>Pauly, Christoph</cp:lastModifiedBy>
  <cp:revision>15</cp:revision>
  <cp:lastPrinted>2006-04-21T08:51:00Z</cp:lastPrinted>
  <dcterms:created xsi:type="dcterms:W3CDTF">2026-01-27T07:23:00Z</dcterms:created>
  <dcterms:modified xsi:type="dcterms:W3CDTF">2026-11-02T09:54:00Z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b8d320-7af9-460f-a921-c7b5b0fff1cb_Enabled">
    <vt:lpwstr>true</vt:lpwstr>
  </property>
  <property fmtid="{D5CDD505-2E9C-101B-9397-08002B2CF9AE}" pid="3" name="MSIP_Label_86b8d320-7af9-460f-a921-c7b5b0fff1cb_SetDate">
    <vt:lpwstr>2025-11-25T02:20:22Z</vt:lpwstr>
  </property>
  <property fmtid="{D5CDD505-2E9C-101B-9397-08002B2CF9AE}" pid="4" name="MSIP_Label_86b8d320-7af9-460f-a921-c7b5b0fff1cb_Method">
    <vt:lpwstr>Privileged</vt:lpwstr>
  </property>
  <property fmtid="{D5CDD505-2E9C-101B-9397-08002B2CF9AE}" pid="5" name="MSIP_Label_86b8d320-7af9-460f-a921-c7b5b0fff1cb_Name">
    <vt:lpwstr>Öffentlich</vt:lpwstr>
  </property>
  <property fmtid="{D5CDD505-2E9C-101B-9397-08002B2CF9AE}" pid="6" name="MSIP_Label_86b8d320-7af9-460f-a921-c7b5b0fff1cb_SiteId">
    <vt:lpwstr>b2c216aa-fa15-418e-b330-d975d3188132</vt:lpwstr>
  </property>
  <property fmtid="{D5CDD505-2E9C-101B-9397-08002B2CF9AE}" pid="7" name="MSIP_Label_86b8d320-7af9-460f-a921-c7b5b0fff1cb_ActionId">
    <vt:lpwstr>eed42432-8c66-4bb8-9575-6d6a492e77ee</vt:lpwstr>
  </property>
  <property fmtid="{D5CDD505-2E9C-101B-9397-08002B2CF9AE}" pid="8" name="MSIP_Label_86b8d320-7af9-460f-a921-c7b5b0fff1cb_ContentBits">
    <vt:lpwstr>0</vt:lpwstr>
  </property>
  <property fmtid="{D5CDD505-2E9C-101B-9397-08002B2CF9AE}" pid="9" name="MSIP_Label_86b8d320-7af9-460f-a921-c7b5b0fff1cb_Tag">
    <vt:lpwstr>10, 0, 1, 1</vt:lpwstr>
  </property>
</Properties>
</file>