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56FE" w:rsidRPr="00F6297F" w:rsidRDefault="007D56FE" w:rsidP="00DF26EA">
      <w:pPr>
        <w:jc w:val="both"/>
        <w:rPr>
          <w:b/>
          <w:sz w:val="24"/>
          <w:szCs w:val="24"/>
        </w:rPr>
      </w:pPr>
      <w:r w:rsidRPr="00F6297F">
        <w:rPr>
          <w:b/>
          <w:sz w:val="24"/>
          <w:szCs w:val="24"/>
        </w:rPr>
        <w:t>Butterfly valves for food applications</w:t>
      </w:r>
    </w:p>
    <w:p w:rsidR="007D56FE" w:rsidRPr="00F6297F" w:rsidRDefault="007D56FE" w:rsidP="00DF26EA">
      <w:pPr>
        <w:jc w:val="both"/>
        <w:rPr>
          <w:sz w:val="24"/>
          <w:szCs w:val="24"/>
        </w:rPr>
      </w:pPr>
    </w:p>
    <w:p w:rsidR="000C574E" w:rsidRPr="00F6297F" w:rsidRDefault="00A35145" w:rsidP="000C574E">
      <w:pPr>
        <w:jc w:val="both"/>
        <w:rPr>
          <w:sz w:val="24"/>
          <w:szCs w:val="24"/>
        </w:rPr>
      </w:pPr>
      <w:r w:rsidRPr="00F6297F">
        <w:rPr>
          <w:sz w:val="24"/>
          <w:szCs w:val="24"/>
        </w:rPr>
        <w:t xml:space="preserve">At the beginning of May 2019, KSB SAS, a member of the KSB Group, launched a new type of liner for its ISORIA butterfly valve type series. It is manufactured from hydrogenated nitrile butadiene rubber (HNBR) and certified in accordance with the requirements of the European Food Contact Materials Regulation (EC) 1935/2004. This new approval extends the range of applications for the type series, which has already been approved by the FDA (USA, </w:t>
      </w:r>
      <w:r w:rsidRPr="00F6297F">
        <w:rPr>
          <w:color w:val="222222"/>
          <w:sz w:val="24"/>
          <w:szCs w:val="24"/>
          <w:shd w:val="clear" w:color="auto" w:fill="FFFFFF"/>
        </w:rPr>
        <w:t>Food and Drug Administration)</w:t>
      </w:r>
      <w:r w:rsidRPr="00F6297F">
        <w:rPr>
          <w:sz w:val="24"/>
          <w:szCs w:val="24"/>
        </w:rPr>
        <w:t xml:space="preserve">. </w:t>
      </w:r>
    </w:p>
    <w:p w:rsidR="000C574E" w:rsidRPr="00F6297F" w:rsidRDefault="000C574E" w:rsidP="000C574E">
      <w:pPr>
        <w:jc w:val="both"/>
        <w:rPr>
          <w:sz w:val="24"/>
          <w:szCs w:val="24"/>
        </w:rPr>
      </w:pPr>
    </w:p>
    <w:p w:rsidR="00772CA1" w:rsidRPr="00F6297F" w:rsidRDefault="00772CA1" w:rsidP="00772CA1">
      <w:pPr>
        <w:jc w:val="both"/>
        <w:rPr>
          <w:sz w:val="24"/>
          <w:szCs w:val="24"/>
        </w:rPr>
      </w:pPr>
      <w:r w:rsidRPr="00F6297F">
        <w:rPr>
          <w:sz w:val="24"/>
          <w:szCs w:val="24"/>
        </w:rPr>
        <w:t>The NH liner (HNBR) is sui</w:t>
      </w:r>
      <w:r w:rsidR="00F6297F" w:rsidRPr="00F6297F">
        <w:rPr>
          <w:sz w:val="24"/>
          <w:szCs w:val="24"/>
        </w:rPr>
        <w:t>table for all food applications</w:t>
      </w:r>
      <w:r w:rsidRPr="00F6297F">
        <w:rPr>
          <w:sz w:val="24"/>
          <w:szCs w:val="24"/>
        </w:rPr>
        <w:t xml:space="preserve"> in which animal, vegetable or mineral oils and acidic liquids are used. It is resistant to hydrocarbons and also suitable for use in solids-laden liquids as it is very abrasion-resistant. The selective hydrogenation of nitrile </w:t>
      </w:r>
      <w:bookmarkStart w:id="0" w:name="_GoBack"/>
      <w:r w:rsidRPr="00EA7D5C">
        <w:rPr>
          <w:bCs/>
          <w:sz w:val="24"/>
          <w:szCs w:val="24"/>
        </w:rPr>
        <w:t>rubber</w:t>
      </w:r>
      <w:r w:rsidRPr="00EA7D5C">
        <w:rPr>
          <w:sz w:val="24"/>
          <w:szCs w:val="24"/>
        </w:rPr>
        <w:t xml:space="preserve"> </w:t>
      </w:r>
      <w:bookmarkEnd w:id="0"/>
      <w:r w:rsidRPr="00F6297F">
        <w:rPr>
          <w:sz w:val="24"/>
          <w:szCs w:val="24"/>
        </w:rPr>
        <w:t>(NBR) significantly increases the temperature resistance of HNBR. Butterfly valves equipped with liners manufactured according to the new formulation (NH) can be used in liquid fluids up to a maximum temperature of 150 °C.</w:t>
      </w:r>
    </w:p>
    <w:p w:rsidR="0009190F" w:rsidRPr="00F6297F" w:rsidRDefault="0009190F" w:rsidP="00DF26EA">
      <w:pPr>
        <w:jc w:val="both"/>
        <w:rPr>
          <w:sz w:val="24"/>
          <w:szCs w:val="24"/>
        </w:rPr>
      </w:pPr>
    </w:p>
    <w:p w:rsidR="00C0038C" w:rsidRPr="00F6297F" w:rsidRDefault="000C574E" w:rsidP="00F6297F">
      <w:pPr>
        <w:jc w:val="both"/>
        <w:rPr>
          <w:color w:val="000000"/>
          <w:sz w:val="24"/>
          <w:szCs w:val="24"/>
        </w:rPr>
      </w:pPr>
      <w:r w:rsidRPr="00F6297F">
        <w:rPr>
          <w:sz w:val="24"/>
          <w:szCs w:val="24"/>
        </w:rPr>
        <w:t xml:space="preserve">The soft-seated centred-disc ISORIA type series is available in nominal sizes DN 40 to DN 1000. </w:t>
      </w:r>
      <w:r w:rsidR="00C0038C" w:rsidRPr="00F6297F">
        <w:rPr>
          <w:color w:val="000000"/>
          <w:sz w:val="24"/>
          <w:szCs w:val="24"/>
        </w:rPr>
        <w:t>KS</w:t>
      </w:r>
      <w:r w:rsidR="00F6297F" w:rsidRPr="00F6297F">
        <w:rPr>
          <w:color w:val="000000"/>
          <w:sz w:val="24"/>
          <w:szCs w:val="24"/>
        </w:rPr>
        <w:t>B also manufactures other liner</w:t>
      </w:r>
      <w:r w:rsidR="00C0038C" w:rsidRPr="00F6297F">
        <w:rPr>
          <w:color w:val="000000"/>
          <w:sz w:val="24"/>
          <w:szCs w:val="24"/>
        </w:rPr>
        <w:t xml:space="preserve"> materials for food applications that comply with the various requirements of Regulation (EC) 1935/2004 and the FDA. For example, KSB provides liners made of EPDM and white nitrile for the beverage industry.</w:t>
      </w:r>
    </w:p>
    <w:p w:rsidR="00C0038C" w:rsidRDefault="00C0038C" w:rsidP="00DF26EA">
      <w:pPr>
        <w:jc w:val="both"/>
        <w:rPr>
          <w:sz w:val="24"/>
          <w:szCs w:val="24"/>
          <w:lang w:val="x-none"/>
        </w:rPr>
      </w:pPr>
    </w:p>
    <w:p w:rsidR="00EA63D5" w:rsidRDefault="00EA63D5" w:rsidP="00DF26EA">
      <w:pPr>
        <w:jc w:val="both"/>
        <w:rPr>
          <w:sz w:val="24"/>
          <w:szCs w:val="24"/>
          <w:lang w:val="x-none"/>
        </w:rPr>
      </w:pPr>
      <w:r w:rsidRPr="00EA63D5">
        <w:rPr>
          <w:sz w:val="24"/>
          <w:szCs w:val="24"/>
          <w:lang w:val="x-none"/>
        </w:rPr>
        <w:t xml:space="preserve">The KSB Group </w:t>
      </w:r>
      <w:proofErr w:type="spellStart"/>
      <w:r w:rsidRPr="00EA63D5">
        <w:rPr>
          <w:sz w:val="24"/>
          <w:szCs w:val="24"/>
          <w:lang w:val="x-none"/>
        </w:rPr>
        <w:t>is</w:t>
      </w:r>
      <w:proofErr w:type="spellEnd"/>
      <w:r w:rsidRPr="00EA63D5">
        <w:rPr>
          <w:sz w:val="24"/>
          <w:szCs w:val="24"/>
          <w:lang w:val="x-none"/>
        </w:rPr>
        <w:t xml:space="preserve"> </w:t>
      </w:r>
      <w:proofErr w:type="spellStart"/>
      <w:r w:rsidRPr="00EA63D5">
        <w:rPr>
          <w:sz w:val="24"/>
          <w:szCs w:val="24"/>
          <w:lang w:val="x-none"/>
        </w:rPr>
        <w:t>one</w:t>
      </w:r>
      <w:proofErr w:type="spellEnd"/>
      <w:r w:rsidRPr="00EA63D5">
        <w:rPr>
          <w:sz w:val="24"/>
          <w:szCs w:val="24"/>
          <w:lang w:val="x-none"/>
        </w:rPr>
        <w:t xml:space="preserve"> </w:t>
      </w:r>
      <w:proofErr w:type="spellStart"/>
      <w:r w:rsidRPr="00EA63D5">
        <w:rPr>
          <w:sz w:val="24"/>
          <w:szCs w:val="24"/>
          <w:lang w:val="x-none"/>
        </w:rPr>
        <w:t>of</w:t>
      </w:r>
      <w:proofErr w:type="spellEnd"/>
      <w:r w:rsidRPr="00EA63D5">
        <w:rPr>
          <w:sz w:val="24"/>
          <w:szCs w:val="24"/>
          <w:lang w:val="x-none"/>
        </w:rPr>
        <w:t xml:space="preserve"> </w:t>
      </w:r>
      <w:proofErr w:type="spellStart"/>
      <w:r w:rsidRPr="00EA63D5">
        <w:rPr>
          <w:sz w:val="24"/>
          <w:szCs w:val="24"/>
          <w:lang w:val="x-none"/>
        </w:rPr>
        <w:t>the</w:t>
      </w:r>
      <w:proofErr w:type="spellEnd"/>
      <w:r w:rsidRPr="00EA63D5">
        <w:rPr>
          <w:sz w:val="24"/>
          <w:szCs w:val="24"/>
          <w:lang w:val="x-none"/>
        </w:rPr>
        <w:t xml:space="preserve"> </w:t>
      </w:r>
      <w:proofErr w:type="spellStart"/>
      <w:r w:rsidRPr="00EA63D5">
        <w:rPr>
          <w:sz w:val="24"/>
          <w:szCs w:val="24"/>
          <w:lang w:val="x-none"/>
        </w:rPr>
        <w:t>few</w:t>
      </w:r>
      <w:proofErr w:type="spellEnd"/>
      <w:r w:rsidRPr="00EA63D5">
        <w:rPr>
          <w:sz w:val="24"/>
          <w:szCs w:val="24"/>
          <w:lang w:val="x-none"/>
        </w:rPr>
        <w:t xml:space="preserve"> </w:t>
      </w:r>
      <w:proofErr w:type="spellStart"/>
      <w:r w:rsidRPr="00EA63D5">
        <w:rPr>
          <w:sz w:val="24"/>
          <w:szCs w:val="24"/>
          <w:lang w:val="x-none"/>
        </w:rPr>
        <w:t>valve</w:t>
      </w:r>
      <w:proofErr w:type="spellEnd"/>
      <w:r w:rsidRPr="00EA63D5">
        <w:rPr>
          <w:sz w:val="24"/>
          <w:szCs w:val="24"/>
          <w:lang w:val="x-none"/>
        </w:rPr>
        <w:t xml:space="preserve"> </w:t>
      </w:r>
      <w:proofErr w:type="spellStart"/>
      <w:r w:rsidRPr="00EA63D5">
        <w:rPr>
          <w:sz w:val="24"/>
          <w:szCs w:val="24"/>
          <w:lang w:val="x-none"/>
        </w:rPr>
        <w:t>manufacturers</w:t>
      </w:r>
      <w:proofErr w:type="spellEnd"/>
      <w:r w:rsidRPr="00EA63D5">
        <w:rPr>
          <w:sz w:val="24"/>
          <w:szCs w:val="24"/>
          <w:lang w:val="x-none"/>
        </w:rPr>
        <w:t xml:space="preserve"> in </w:t>
      </w:r>
      <w:proofErr w:type="spellStart"/>
      <w:r w:rsidRPr="00EA63D5">
        <w:rPr>
          <w:sz w:val="24"/>
          <w:szCs w:val="24"/>
          <w:lang w:val="x-none"/>
        </w:rPr>
        <w:t>the</w:t>
      </w:r>
      <w:proofErr w:type="spellEnd"/>
      <w:r w:rsidRPr="00EA63D5">
        <w:rPr>
          <w:sz w:val="24"/>
          <w:szCs w:val="24"/>
          <w:lang w:val="x-none"/>
        </w:rPr>
        <w:t xml:space="preserve"> </w:t>
      </w:r>
      <w:proofErr w:type="spellStart"/>
      <w:r w:rsidRPr="00EA63D5">
        <w:rPr>
          <w:sz w:val="24"/>
          <w:szCs w:val="24"/>
          <w:lang w:val="x-none"/>
        </w:rPr>
        <w:t>world</w:t>
      </w:r>
      <w:proofErr w:type="spellEnd"/>
      <w:r w:rsidRPr="00EA63D5">
        <w:rPr>
          <w:sz w:val="24"/>
          <w:szCs w:val="24"/>
          <w:lang w:val="x-none"/>
        </w:rPr>
        <w:t xml:space="preserve"> </w:t>
      </w:r>
      <w:proofErr w:type="spellStart"/>
      <w:r w:rsidRPr="00EA63D5">
        <w:rPr>
          <w:sz w:val="24"/>
          <w:szCs w:val="24"/>
          <w:lang w:val="x-none"/>
        </w:rPr>
        <w:t>to</w:t>
      </w:r>
      <w:proofErr w:type="spellEnd"/>
      <w:r w:rsidRPr="00EA63D5">
        <w:rPr>
          <w:sz w:val="24"/>
          <w:szCs w:val="24"/>
          <w:lang w:val="x-none"/>
        </w:rPr>
        <w:t xml:space="preserve"> </w:t>
      </w:r>
      <w:proofErr w:type="spellStart"/>
      <w:r w:rsidRPr="00EA63D5">
        <w:rPr>
          <w:sz w:val="24"/>
          <w:szCs w:val="24"/>
          <w:lang w:val="x-none"/>
        </w:rPr>
        <w:t>develop</w:t>
      </w:r>
      <w:proofErr w:type="spellEnd"/>
      <w:r w:rsidRPr="00EA63D5">
        <w:rPr>
          <w:sz w:val="24"/>
          <w:szCs w:val="24"/>
          <w:lang w:val="x-none"/>
        </w:rPr>
        <w:t xml:space="preserve"> </w:t>
      </w:r>
      <w:proofErr w:type="spellStart"/>
      <w:r w:rsidRPr="00EA63D5">
        <w:rPr>
          <w:sz w:val="24"/>
          <w:szCs w:val="24"/>
          <w:lang w:val="x-none"/>
        </w:rPr>
        <w:t>and</w:t>
      </w:r>
      <w:proofErr w:type="spellEnd"/>
      <w:r w:rsidRPr="00EA63D5">
        <w:rPr>
          <w:sz w:val="24"/>
          <w:szCs w:val="24"/>
          <w:lang w:val="x-none"/>
        </w:rPr>
        <w:t xml:space="preserve"> </w:t>
      </w:r>
      <w:proofErr w:type="spellStart"/>
      <w:r w:rsidRPr="00EA63D5">
        <w:rPr>
          <w:sz w:val="24"/>
          <w:szCs w:val="24"/>
          <w:lang w:val="x-none"/>
        </w:rPr>
        <w:t>produce</w:t>
      </w:r>
      <w:proofErr w:type="spellEnd"/>
      <w:r w:rsidRPr="00EA63D5">
        <w:rPr>
          <w:sz w:val="24"/>
          <w:szCs w:val="24"/>
          <w:lang w:val="x-none"/>
        </w:rPr>
        <w:t xml:space="preserve"> </w:t>
      </w:r>
      <w:proofErr w:type="spellStart"/>
      <w:r w:rsidRPr="00EA63D5">
        <w:rPr>
          <w:sz w:val="24"/>
          <w:szCs w:val="24"/>
          <w:lang w:val="x-none"/>
        </w:rPr>
        <w:t>its</w:t>
      </w:r>
      <w:proofErr w:type="spellEnd"/>
      <w:r w:rsidRPr="00EA63D5">
        <w:rPr>
          <w:sz w:val="24"/>
          <w:szCs w:val="24"/>
          <w:lang w:val="x-none"/>
        </w:rPr>
        <w:t xml:space="preserve"> </w:t>
      </w:r>
      <w:proofErr w:type="spellStart"/>
      <w:r w:rsidRPr="00EA63D5">
        <w:rPr>
          <w:sz w:val="24"/>
          <w:szCs w:val="24"/>
          <w:lang w:val="x-none"/>
        </w:rPr>
        <w:t>own</w:t>
      </w:r>
      <w:proofErr w:type="spellEnd"/>
      <w:r w:rsidRPr="00EA63D5">
        <w:rPr>
          <w:sz w:val="24"/>
          <w:szCs w:val="24"/>
          <w:lang w:val="x-none"/>
        </w:rPr>
        <w:t xml:space="preserve"> </w:t>
      </w:r>
      <w:proofErr w:type="spellStart"/>
      <w:r w:rsidRPr="00EA63D5">
        <w:rPr>
          <w:sz w:val="24"/>
          <w:szCs w:val="24"/>
          <w:lang w:val="x-none"/>
        </w:rPr>
        <w:t>elastomers</w:t>
      </w:r>
      <w:proofErr w:type="spellEnd"/>
      <w:r w:rsidRPr="00EA63D5">
        <w:rPr>
          <w:sz w:val="24"/>
          <w:szCs w:val="24"/>
          <w:lang w:val="x-none"/>
        </w:rPr>
        <w:t>.</w:t>
      </w:r>
    </w:p>
    <w:p w:rsidR="00EA63D5" w:rsidRPr="00F6297F" w:rsidRDefault="00EA63D5" w:rsidP="00DF26EA">
      <w:pPr>
        <w:jc w:val="both"/>
        <w:rPr>
          <w:sz w:val="24"/>
          <w:szCs w:val="24"/>
          <w:lang w:val="x-none"/>
        </w:rPr>
      </w:pPr>
    </w:p>
    <w:p w:rsidR="00BD5037" w:rsidRPr="00F6297F" w:rsidRDefault="00BD5037" w:rsidP="00BD5037">
      <w:pPr>
        <w:ind w:right="-1"/>
        <w:rPr>
          <w:sz w:val="24"/>
          <w:szCs w:val="24"/>
        </w:rPr>
      </w:pPr>
      <w:r w:rsidRPr="00F6297F">
        <w:rPr>
          <w:sz w:val="24"/>
          <w:szCs w:val="24"/>
        </w:rPr>
        <w:t>Photo: The ISORIA butterfly valves are now available with an oil-resistant liner for food applications.</w:t>
      </w:r>
      <w:r w:rsidR="00F6297F">
        <w:rPr>
          <w:sz w:val="24"/>
          <w:szCs w:val="24"/>
        </w:rPr>
        <w:t xml:space="preserve"> </w:t>
      </w:r>
      <w:r w:rsidRPr="00F6297F">
        <w:rPr>
          <w:sz w:val="24"/>
          <w:szCs w:val="24"/>
        </w:rPr>
        <w:t>(© KSB SE &amp; Co. </w:t>
      </w:r>
      <w:proofErr w:type="spellStart"/>
      <w:r w:rsidRPr="00F6297F">
        <w:rPr>
          <w:sz w:val="24"/>
          <w:szCs w:val="24"/>
        </w:rPr>
        <w:t>KGaA</w:t>
      </w:r>
      <w:proofErr w:type="spellEnd"/>
      <w:r w:rsidRPr="00F6297F">
        <w:rPr>
          <w:sz w:val="24"/>
          <w:szCs w:val="24"/>
        </w:rPr>
        <w:t>, </w:t>
      </w:r>
      <w:proofErr w:type="spellStart"/>
      <w:r w:rsidRPr="00F6297F">
        <w:rPr>
          <w:sz w:val="24"/>
          <w:szCs w:val="24"/>
        </w:rPr>
        <w:t>Frankenthal</w:t>
      </w:r>
      <w:proofErr w:type="spellEnd"/>
      <w:r w:rsidRPr="00F6297F">
        <w:rPr>
          <w:sz w:val="24"/>
          <w:szCs w:val="24"/>
        </w:rPr>
        <w:t>)</w:t>
      </w:r>
    </w:p>
    <w:p w:rsidR="00BD5037" w:rsidRPr="00F6297F" w:rsidRDefault="00BD5037" w:rsidP="00DF26EA">
      <w:pPr>
        <w:jc w:val="both"/>
        <w:rPr>
          <w:sz w:val="24"/>
          <w:szCs w:val="24"/>
          <w:lang w:val="x-none"/>
        </w:rPr>
      </w:pPr>
    </w:p>
    <w:sectPr w:rsidR="00BD5037" w:rsidRPr="00F6297F" w:rsidSect="00DF26EA">
      <w:headerReference w:type="even" r:id="rId6"/>
      <w:headerReference w:type="default" r:id="rId7"/>
      <w:footerReference w:type="default" r:id="rId8"/>
      <w:headerReference w:type="first" r:id="rId9"/>
      <w:pgSz w:w="11906" w:h="16838" w:code="9"/>
      <w:pgMar w:top="1701" w:right="2550" w:bottom="2268" w:left="2552"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07DB" w:rsidRDefault="00BE07DB">
      <w:r>
        <w:separator/>
      </w:r>
    </w:p>
  </w:endnote>
  <w:endnote w:type="continuationSeparator" w:id="0">
    <w:p w:rsidR="00BE07DB" w:rsidRDefault="00BE07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KNAANM+FrutigerLTPro-Roman">
    <w:altName w:val="Frutiger LT Pro"/>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14:anchorId="00C2D4F1" wp14:editId="4D6FCCDC">
                <wp:extent cx="6322695" cy="855980"/>
                <wp:effectExtent l="0" t="0" r="1905" b="1270"/>
                <wp:docPr id="70"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07DB" w:rsidRDefault="00BE07DB">
      <w:r>
        <w:separator/>
      </w:r>
    </w:p>
  </w:footnote>
  <w:footnote w:type="continuationSeparator" w:id="0">
    <w:p w:rsidR="00BE07DB" w:rsidRDefault="00BE07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rsidR="00A4139C" w:rsidRDefault="00170D6E">
    <w:pPr>
      <w:pStyle w:val="Kopfzeile"/>
      <w:jc w:val="right"/>
    </w:pPr>
    <w:r>
      <w:rPr>
        <w:noProof/>
        <w:lang w:val="de-DE"/>
      </w:rPr>
      <w:drawing>
        <wp:inline distT="0" distB="0" distL="0" distR="0" wp14:anchorId="756849DF" wp14:editId="3CE6E3ED">
          <wp:extent cx="1190625" cy="513715"/>
          <wp:effectExtent l="0" t="0" r="9525" b="635"/>
          <wp:docPr id="69"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05CA12DF-6857-4DFF-A6A3-5A55731317D5}"/>
    <w:docVar w:name="dgnword-drafile" w:val="C:\Users\paulchr\AppData\Local\Temp\draB191.tmp"/>
    <w:docVar w:name="dgnword-eventsink" w:val="585094584"/>
  </w:docVars>
  <w:rsids>
    <w:rsidRoot w:val="00A35145"/>
    <w:rsid w:val="00010238"/>
    <w:rsid w:val="0009190F"/>
    <w:rsid w:val="000C574E"/>
    <w:rsid w:val="000E18E6"/>
    <w:rsid w:val="00170D6E"/>
    <w:rsid w:val="001A365C"/>
    <w:rsid w:val="00215761"/>
    <w:rsid w:val="00296323"/>
    <w:rsid w:val="002E5671"/>
    <w:rsid w:val="003248B9"/>
    <w:rsid w:val="00332642"/>
    <w:rsid w:val="003A3402"/>
    <w:rsid w:val="004A6F3C"/>
    <w:rsid w:val="004B5BE0"/>
    <w:rsid w:val="004F5378"/>
    <w:rsid w:val="00514B86"/>
    <w:rsid w:val="00563D15"/>
    <w:rsid w:val="005E5620"/>
    <w:rsid w:val="00736FF8"/>
    <w:rsid w:val="00772CA1"/>
    <w:rsid w:val="007D56FE"/>
    <w:rsid w:val="00817991"/>
    <w:rsid w:val="0086737F"/>
    <w:rsid w:val="008E48A4"/>
    <w:rsid w:val="009B036D"/>
    <w:rsid w:val="00A234EE"/>
    <w:rsid w:val="00A35145"/>
    <w:rsid w:val="00A4139C"/>
    <w:rsid w:val="00A76422"/>
    <w:rsid w:val="00B009D3"/>
    <w:rsid w:val="00B415D9"/>
    <w:rsid w:val="00B45CA7"/>
    <w:rsid w:val="00BA6CB4"/>
    <w:rsid w:val="00BD5037"/>
    <w:rsid w:val="00BE07DB"/>
    <w:rsid w:val="00C0038C"/>
    <w:rsid w:val="00C07CC8"/>
    <w:rsid w:val="00CF02D5"/>
    <w:rsid w:val="00D678FE"/>
    <w:rsid w:val="00D84744"/>
    <w:rsid w:val="00DF26EA"/>
    <w:rsid w:val="00E35697"/>
    <w:rsid w:val="00EA63D5"/>
    <w:rsid w:val="00EA7D5C"/>
    <w:rsid w:val="00F4567D"/>
    <w:rsid w:val="00F629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99C35C9"/>
  <w15:chartTrackingRefBased/>
  <w15:docId w15:val="{E3CAA6FF-EF96-4F6A-B7B7-A16D94C57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customStyle="1" w:styleId="Default">
    <w:name w:val="Default"/>
    <w:rsid w:val="00D84744"/>
    <w:pPr>
      <w:autoSpaceDE w:val="0"/>
      <w:autoSpaceDN w:val="0"/>
      <w:adjustRightInd w:val="0"/>
    </w:pPr>
    <w:rPr>
      <w:rFonts w:ascii="KNAANM+FrutigerLTPro-Roman" w:hAnsi="KNAANM+FrutigerLTPro-Roman" w:cs="KNAANM+FrutigerLTPro-Roman"/>
      <w:color w:val="000000"/>
      <w:sz w:val="24"/>
      <w:szCs w:val="24"/>
    </w:rPr>
  </w:style>
  <w:style w:type="paragraph" w:styleId="Sprechblasentext">
    <w:name w:val="Balloon Text"/>
    <w:basedOn w:val="Standard"/>
    <w:link w:val="SprechblasentextZchn"/>
    <w:semiHidden/>
    <w:unhideWhenUsed/>
    <w:rsid w:val="004F5378"/>
    <w:rPr>
      <w:rFonts w:ascii="Segoe UI" w:hAnsi="Segoe UI" w:cs="Segoe UI"/>
      <w:sz w:val="18"/>
      <w:szCs w:val="18"/>
    </w:rPr>
  </w:style>
  <w:style w:type="character" w:customStyle="1" w:styleId="SprechblasentextZchn">
    <w:name w:val="Sprechblasentext Zchn"/>
    <w:basedOn w:val="Absatz-Standardschriftart"/>
    <w:link w:val="Sprechblasentext"/>
    <w:semiHidden/>
    <w:rsid w:val="004F5378"/>
    <w:rPr>
      <w:rFonts w:ascii="Segoe UI" w:hAnsi="Segoe UI" w:cs="Segoe UI"/>
      <w:sz w:val="18"/>
      <w:szCs w:val="18"/>
      <w:lang w:val="en-GB" w:eastAsia="de-DE"/>
    </w:rPr>
  </w:style>
  <w:style w:type="character" w:styleId="Kommentarzeichen">
    <w:name w:val="annotation reference"/>
    <w:basedOn w:val="Absatz-Standardschriftart"/>
    <w:semiHidden/>
    <w:unhideWhenUsed/>
    <w:rsid w:val="004F5378"/>
    <w:rPr>
      <w:sz w:val="16"/>
      <w:szCs w:val="16"/>
    </w:rPr>
  </w:style>
  <w:style w:type="paragraph" w:styleId="Kommentartext">
    <w:name w:val="annotation text"/>
    <w:basedOn w:val="Standard"/>
    <w:link w:val="KommentartextZchn"/>
    <w:semiHidden/>
    <w:unhideWhenUsed/>
    <w:rsid w:val="004F5378"/>
    <w:rPr>
      <w:sz w:val="20"/>
      <w:szCs w:val="20"/>
    </w:rPr>
  </w:style>
  <w:style w:type="character" w:customStyle="1" w:styleId="KommentartextZchn">
    <w:name w:val="Kommentartext Zchn"/>
    <w:basedOn w:val="Absatz-Standardschriftart"/>
    <w:link w:val="Kommentartext"/>
    <w:semiHidden/>
    <w:rsid w:val="004F5378"/>
    <w:rPr>
      <w:rFonts w:ascii="Arial" w:hAnsi="Arial" w:cs="Arial"/>
      <w:lang w:val="en-GB" w:eastAsia="de-DE"/>
    </w:rPr>
  </w:style>
  <w:style w:type="paragraph" w:styleId="Kommentarthema">
    <w:name w:val="annotation subject"/>
    <w:basedOn w:val="Kommentartext"/>
    <w:next w:val="Kommentartext"/>
    <w:link w:val="KommentarthemaZchn"/>
    <w:semiHidden/>
    <w:unhideWhenUsed/>
    <w:rsid w:val="004F5378"/>
    <w:rPr>
      <w:b/>
      <w:bCs/>
    </w:rPr>
  </w:style>
  <w:style w:type="character" w:customStyle="1" w:styleId="KommentarthemaZchn">
    <w:name w:val="Kommentarthema Zchn"/>
    <w:basedOn w:val="KommentartextZchn"/>
    <w:link w:val="Kommentarthema"/>
    <w:semiHidden/>
    <w:rsid w:val="004F5378"/>
    <w:rPr>
      <w:rFonts w:ascii="Arial" w:hAnsi="Arial" w:cs="Arial"/>
      <w:b/>
      <w:bCs/>
      <w:lang w:val="en-GB" w:eastAsia="de-DE"/>
    </w:rPr>
  </w:style>
  <w:style w:type="paragraph" w:styleId="berarbeitung">
    <w:name w:val="Revision"/>
    <w:hidden/>
    <w:uiPriority w:val="99"/>
    <w:semiHidden/>
    <w:rsid w:val="004F5378"/>
    <w:rPr>
      <w:rFonts w:ascii="Arial" w:hAnsi="Arial" w:cs="Arial"/>
      <w:sz w:val="22"/>
      <w:szCs w:val="2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222</Words>
  <Characters>1400</Characters>
  <Application>Microsoft Office Word</Application>
  <DocSecurity>0</DocSecurity>
  <Lines>11</Lines>
  <Paragraphs>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KSB Aktiengesellschaft • Johann-Klein-Straße 9 • 67227 Frankenthal</vt:lpstr>
      <vt:lpstr>KSB Aktiengesellschaft • Johann-Klein-Straße 9 • 67227 Frankenthal</vt:lpstr>
    </vt:vector>
  </TitlesOfParts>
  <Company>KSB Group</Company>
  <LinksUpToDate>false</LinksUpToDate>
  <CharactersWithSpaces>1619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Pauly, Christoph</cp:lastModifiedBy>
  <cp:revision>5</cp:revision>
  <cp:lastPrinted>2006-04-21T08:51:00Z</cp:lastPrinted>
  <dcterms:created xsi:type="dcterms:W3CDTF">2019-06-18T10:40:00Z</dcterms:created>
  <dcterms:modified xsi:type="dcterms:W3CDTF">2019-06-18T12:45:00Z</dcterms:modified>
</cp:coreProperties>
</file>