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1093" w:rsidRDefault="00B21093" w:rsidP="00857E6E">
      <w:pPr>
        <w:pStyle w:val="titel"/>
        <w:tabs>
          <w:tab w:val="clear" w:pos="0"/>
        </w:tabs>
        <w:spacing w:before="120" w:after="120"/>
        <w:ind w:right="2584"/>
        <w:rPr>
          <w:color w:val="auto"/>
          <w:lang w:val="de-DE"/>
        </w:rPr>
      </w:pPr>
    </w:p>
    <w:p w:rsidR="003D3176" w:rsidRPr="004E3302" w:rsidRDefault="00843F8C" w:rsidP="003D3176">
      <w:pPr>
        <w:pStyle w:val="titel"/>
        <w:tabs>
          <w:tab w:val="clear" w:pos="0"/>
        </w:tabs>
        <w:spacing w:before="120" w:after="120"/>
        <w:ind w:right="2584"/>
        <w:rPr>
          <w:color w:val="auto"/>
          <w:lang w:val="de-DE"/>
        </w:rPr>
      </w:pPr>
      <w:r w:rsidRPr="004E3302">
        <w:rPr>
          <w:color w:val="auto"/>
          <w:lang w:val="de-DE"/>
        </w:rPr>
        <w:t xml:space="preserve">KSB </w:t>
      </w:r>
      <w:r w:rsidR="000625B9" w:rsidRPr="004E3302">
        <w:rPr>
          <w:color w:val="auto"/>
          <w:lang w:val="de-DE"/>
        </w:rPr>
        <w:t>weiterhin auf Kurs</w:t>
      </w:r>
    </w:p>
    <w:p w:rsidR="00843F8C" w:rsidRDefault="00843F8C" w:rsidP="003D3176">
      <w:pPr>
        <w:pStyle w:val="titel"/>
        <w:tabs>
          <w:tab w:val="clear" w:pos="0"/>
        </w:tabs>
        <w:spacing w:before="120" w:after="120"/>
        <w:ind w:right="2584"/>
        <w:rPr>
          <w:color w:val="auto"/>
          <w:sz w:val="28"/>
          <w:szCs w:val="28"/>
          <w:lang w:val="de-DE"/>
        </w:rPr>
      </w:pPr>
    </w:p>
    <w:p w:rsidR="000625B9" w:rsidRPr="000625B9" w:rsidRDefault="000625B9" w:rsidP="000625B9">
      <w:pPr>
        <w:pStyle w:val="titel"/>
        <w:numPr>
          <w:ilvl w:val="0"/>
          <w:numId w:val="2"/>
        </w:numPr>
        <w:spacing w:before="120" w:after="120"/>
        <w:ind w:right="2584"/>
        <w:rPr>
          <w:b w:val="0"/>
          <w:color w:val="000000" w:themeColor="text1"/>
          <w:sz w:val="28"/>
          <w:szCs w:val="22"/>
          <w:lang w:val="de-DE"/>
        </w:rPr>
      </w:pPr>
      <w:r w:rsidRPr="000625B9">
        <w:rPr>
          <w:b w:val="0"/>
          <w:color w:val="000000" w:themeColor="text1"/>
          <w:sz w:val="28"/>
          <w:szCs w:val="22"/>
          <w:lang w:val="de-DE"/>
        </w:rPr>
        <w:t>Auftragseingang und Umsatz über Vorjahr</w:t>
      </w:r>
    </w:p>
    <w:p w:rsidR="000625B9" w:rsidRPr="000625B9" w:rsidRDefault="000625B9" w:rsidP="000625B9">
      <w:pPr>
        <w:pStyle w:val="titel"/>
        <w:numPr>
          <w:ilvl w:val="0"/>
          <w:numId w:val="2"/>
        </w:numPr>
        <w:spacing w:before="120" w:after="120"/>
        <w:ind w:right="2584"/>
        <w:rPr>
          <w:b w:val="0"/>
          <w:color w:val="000000" w:themeColor="text1"/>
          <w:sz w:val="28"/>
          <w:szCs w:val="22"/>
          <w:lang w:val="de-DE"/>
        </w:rPr>
      </w:pPr>
      <w:r w:rsidRPr="000625B9">
        <w:rPr>
          <w:b w:val="0"/>
          <w:color w:val="000000" w:themeColor="text1"/>
          <w:sz w:val="28"/>
          <w:szCs w:val="22"/>
          <w:lang w:val="de-DE"/>
        </w:rPr>
        <w:t xml:space="preserve">Verunsicherung der Märkte spürbar </w:t>
      </w:r>
    </w:p>
    <w:p w:rsidR="000625B9" w:rsidRPr="00964672" w:rsidRDefault="000625B9" w:rsidP="000625B9">
      <w:pPr>
        <w:pStyle w:val="titel"/>
        <w:numPr>
          <w:ilvl w:val="0"/>
          <w:numId w:val="2"/>
        </w:numPr>
        <w:tabs>
          <w:tab w:val="clear" w:pos="0"/>
        </w:tabs>
        <w:spacing w:before="120" w:after="120"/>
        <w:ind w:right="2584"/>
        <w:rPr>
          <w:b w:val="0"/>
          <w:color w:val="000000" w:themeColor="text1"/>
          <w:sz w:val="28"/>
          <w:szCs w:val="22"/>
          <w:lang w:val="de-DE"/>
        </w:rPr>
      </w:pPr>
      <w:r w:rsidRPr="000625B9">
        <w:rPr>
          <w:b w:val="0"/>
          <w:color w:val="000000" w:themeColor="text1"/>
          <w:sz w:val="28"/>
          <w:szCs w:val="22"/>
          <w:lang w:val="de-DE"/>
        </w:rPr>
        <w:t>Bestätigung der Prognose für 2025</w:t>
      </w:r>
    </w:p>
    <w:p w:rsidR="004C290B" w:rsidRPr="00CC7754" w:rsidRDefault="004C290B" w:rsidP="004C290B">
      <w:pPr>
        <w:spacing w:line="360" w:lineRule="auto"/>
        <w:ind w:right="2584"/>
        <w:jc w:val="both"/>
        <w:rPr>
          <w:rFonts w:cs="Arial"/>
          <w:color w:val="000000" w:themeColor="text1"/>
          <w:szCs w:val="24"/>
        </w:rPr>
      </w:pPr>
    </w:p>
    <w:p w:rsidR="000625B9" w:rsidRDefault="004C290B" w:rsidP="000625B9">
      <w:pPr>
        <w:spacing w:line="360" w:lineRule="auto"/>
        <w:ind w:right="2584"/>
        <w:jc w:val="both"/>
        <w:rPr>
          <w:rFonts w:cs="Arial"/>
          <w:color w:val="000000" w:themeColor="text1"/>
          <w:szCs w:val="24"/>
        </w:rPr>
      </w:pPr>
      <w:r w:rsidRPr="00B21093">
        <w:rPr>
          <w:rFonts w:cs="Arial"/>
          <w:color w:val="000000" w:themeColor="text1"/>
          <w:szCs w:val="24"/>
        </w:rPr>
        <w:t xml:space="preserve">FRANKENTHAL: </w:t>
      </w:r>
      <w:r w:rsidR="000625B9" w:rsidRPr="000625B9">
        <w:rPr>
          <w:rFonts w:cs="Arial"/>
          <w:color w:val="000000" w:themeColor="text1"/>
          <w:szCs w:val="24"/>
        </w:rPr>
        <w:t xml:space="preserve">Der Frankenthaler Pumpen- und Armaturenhersteller KSB setzt im ersten Halbjahr 2025 trotz schwieriger Rahmenbedingungen die positive Entwicklung des Geschäftsjahres 2024 fort. Auftragseingang und Umsatz sowie </w:t>
      </w:r>
      <w:proofErr w:type="gramStart"/>
      <w:r w:rsidR="000625B9" w:rsidRPr="000625B9">
        <w:rPr>
          <w:rFonts w:cs="Arial"/>
          <w:color w:val="000000" w:themeColor="text1"/>
          <w:szCs w:val="24"/>
        </w:rPr>
        <w:t>das</w:t>
      </w:r>
      <w:proofErr w:type="gramEnd"/>
      <w:r w:rsidR="000625B9" w:rsidRPr="000625B9">
        <w:rPr>
          <w:rFonts w:cs="Arial"/>
          <w:color w:val="000000" w:themeColor="text1"/>
          <w:szCs w:val="24"/>
        </w:rPr>
        <w:t xml:space="preserve"> um die Kosten der Einführung von SAP S/4HANA bereinigte Ergebnis vor Finanzergebnis und Ertragsteuern (EBIT) liegen über dem Vorjahreshalbjahr. </w:t>
      </w:r>
    </w:p>
    <w:p w:rsidR="000625B9" w:rsidRPr="000625B9" w:rsidRDefault="000625B9" w:rsidP="000625B9">
      <w:pPr>
        <w:spacing w:line="360" w:lineRule="auto"/>
        <w:ind w:right="2584"/>
        <w:jc w:val="both"/>
        <w:rPr>
          <w:rFonts w:cs="Arial"/>
          <w:color w:val="000000" w:themeColor="text1"/>
          <w:szCs w:val="24"/>
        </w:rPr>
      </w:pPr>
    </w:p>
    <w:p w:rsidR="000625B9" w:rsidRPr="000625B9" w:rsidRDefault="000625B9" w:rsidP="000625B9">
      <w:pPr>
        <w:spacing w:line="360" w:lineRule="auto"/>
        <w:ind w:right="2584"/>
        <w:jc w:val="both"/>
        <w:rPr>
          <w:rFonts w:cs="Arial"/>
          <w:color w:val="000000" w:themeColor="text1"/>
          <w:szCs w:val="24"/>
        </w:rPr>
      </w:pPr>
      <w:r w:rsidRPr="000625B9">
        <w:rPr>
          <w:rFonts w:cs="Arial"/>
          <w:color w:val="000000" w:themeColor="text1"/>
          <w:szCs w:val="24"/>
        </w:rPr>
        <w:t>Das Unternehmen stellt sich einer Verunsicherung der Märkte aufgrund sprunghafter Zollpolitik, geopolitischer Unberechenbarkeit und kriegerischer Handlungen. Dr. Stephan Timmermann, Sprecher der Geschäftsleitung, sagt: “Die Investitionszurückhaltung, die mit veränderten Handelsallianzen und negativen Währungseffekten einhergeht, gilt es zu kompensieren. Mit Blick auf das schwierige makroökonomische Umfeld sind wir mit dem Auftragseingang von KSB im ersten Halbjahr 2025 sehr zufrieden.”</w:t>
      </w:r>
    </w:p>
    <w:p w:rsidR="000625B9" w:rsidRPr="000625B9" w:rsidRDefault="000625B9" w:rsidP="000625B9">
      <w:pPr>
        <w:spacing w:line="360" w:lineRule="auto"/>
        <w:ind w:right="2584"/>
        <w:jc w:val="both"/>
        <w:rPr>
          <w:rFonts w:cs="Arial"/>
          <w:color w:val="000000" w:themeColor="text1"/>
          <w:szCs w:val="24"/>
        </w:rPr>
      </w:pPr>
    </w:p>
    <w:p w:rsidR="000625B9" w:rsidRPr="000625B9" w:rsidRDefault="000625B9" w:rsidP="000625B9">
      <w:pPr>
        <w:spacing w:line="360" w:lineRule="auto"/>
        <w:ind w:right="2584"/>
        <w:jc w:val="both"/>
        <w:rPr>
          <w:rFonts w:cs="Arial"/>
          <w:color w:val="000000" w:themeColor="text1"/>
          <w:szCs w:val="24"/>
        </w:rPr>
      </w:pPr>
      <w:r w:rsidRPr="000625B9">
        <w:rPr>
          <w:rFonts w:cs="Arial"/>
          <w:color w:val="000000" w:themeColor="text1"/>
          <w:szCs w:val="24"/>
        </w:rPr>
        <w:t xml:space="preserve">Im ersten Halbjahr des Geschäftsjahres 2025 hat KSB den </w:t>
      </w:r>
      <w:r w:rsidRPr="000625B9">
        <w:rPr>
          <w:rFonts w:cs="Arial"/>
          <w:b/>
          <w:color w:val="000000" w:themeColor="text1"/>
          <w:szCs w:val="24"/>
        </w:rPr>
        <w:t>Auftragseingang</w:t>
      </w:r>
      <w:r w:rsidRPr="000625B9">
        <w:rPr>
          <w:rFonts w:cs="Arial"/>
          <w:color w:val="000000" w:themeColor="text1"/>
          <w:szCs w:val="24"/>
        </w:rPr>
        <w:t xml:space="preserve"> um 3,3 % auf 1.698 Mio. € (davon 820</w:t>
      </w:r>
      <w:r>
        <w:rPr>
          <w:rFonts w:cs="Arial"/>
          <w:color w:val="000000" w:themeColor="text1"/>
          <w:szCs w:val="24"/>
        </w:rPr>
        <w:t> </w:t>
      </w:r>
      <w:r w:rsidRPr="000625B9">
        <w:rPr>
          <w:rFonts w:cs="Arial"/>
          <w:color w:val="000000" w:themeColor="text1"/>
          <w:szCs w:val="24"/>
        </w:rPr>
        <w:t>Mio.</w:t>
      </w:r>
      <w:r>
        <w:rPr>
          <w:rFonts w:cs="Arial"/>
          <w:color w:val="000000" w:themeColor="text1"/>
          <w:szCs w:val="24"/>
        </w:rPr>
        <w:t> </w:t>
      </w:r>
      <w:r w:rsidRPr="000625B9">
        <w:rPr>
          <w:rFonts w:cs="Arial"/>
          <w:color w:val="000000" w:themeColor="text1"/>
          <w:szCs w:val="24"/>
        </w:rPr>
        <w:t xml:space="preserve">€ im 2. Quartal) gesteigert. Bereinigt um den Währungseffekt von 23 Mio. € hätte sich ein Wachstum des Auftragseingangs um 4,7 % ergeben. Den </w:t>
      </w:r>
      <w:r w:rsidRPr="000625B9">
        <w:rPr>
          <w:rFonts w:cs="Arial"/>
          <w:color w:val="000000" w:themeColor="text1"/>
          <w:szCs w:val="24"/>
        </w:rPr>
        <w:lastRenderedPageBreak/>
        <w:t>stärksten Anstieg mit 8,2 % auf 941 Mio. € erzielte das Segment Pumpen, während das Segment Armaturen mit einem Auftragseingang von rund 225 Mio. € nahezu auf Vorjahresniveau liegt. Dagegen reduzierte sich der Auftragseingang im Segment KSB </w:t>
      </w:r>
      <w:proofErr w:type="spellStart"/>
      <w:r w:rsidRPr="000625B9">
        <w:rPr>
          <w:rFonts w:cs="Arial"/>
          <w:color w:val="000000" w:themeColor="text1"/>
          <w:szCs w:val="24"/>
        </w:rPr>
        <w:t>SupremeServ</w:t>
      </w:r>
      <w:proofErr w:type="spellEnd"/>
      <w:r w:rsidRPr="000625B9">
        <w:rPr>
          <w:rFonts w:cs="Arial"/>
          <w:color w:val="000000" w:themeColor="text1"/>
          <w:szCs w:val="24"/>
        </w:rPr>
        <w:t xml:space="preserve"> aufgrund temporär geringerer Ersatzteilnachfrage in den Märkten Bergbau und Energie um 3,1 %. Im Segment Pumpen, </w:t>
      </w:r>
      <w:proofErr w:type="gramStart"/>
      <w:r w:rsidRPr="000625B9">
        <w:rPr>
          <w:rFonts w:cs="Arial"/>
          <w:color w:val="000000" w:themeColor="text1"/>
          <w:szCs w:val="24"/>
        </w:rPr>
        <w:t>welches ausschließlich Neupumpen</w:t>
      </w:r>
      <w:proofErr w:type="gramEnd"/>
      <w:r w:rsidRPr="000625B9">
        <w:rPr>
          <w:rFonts w:cs="Arial"/>
          <w:color w:val="000000" w:themeColor="text1"/>
          <w:szCs w:val="24"/>
        </w:rPr>
        <w:t xml:space="preserve"> enthält, realisierten die Standardmärkte ein Wachstum von 13,3 %. Größere Aufträge in den Marktbereichen Wasser sowie Petrochemie / Chemie haben hierzu beigetragen. Der Marktbereich Bergbau erzielte eine Steigerung des Auftragseingangs um 4,9 %. Bedingt durch größere Einzelaufträge im ersten Halbjahr 2024 verzeichnete der Marktbereich Energie einen Rückgang im Auftragseingang um 14,3 %. Während die Auftragseingänge in der Region Mittlerer Osten / Afrika um 15,9 %, in der Region Asien / Pazifik um 5,9 % und in der Region Europa um 3,2 % stiegen, gingen diese in der Region Amerika aufgrund des schwächeren US-Dollar um 3,5 % zurück. </w:t>
      </w:r>
    </w:p>
    <w:p w:rsidR="000625B9" w:rsidRDefault="000625B9" w:rsidP="000625B9">
      <w:pPr>
        <w:spacing w:line="360" w:lineRule="auto"/>
        <w:ind w:right="2584"/>
        <w:jc w:val="both"/>
        <w:rPr>
          <w:rFonts w:cs="Arial"/>
          <w:color w:val="000000" w:themeColor="text1"/>
          <w:szCs w:val="24"/>
        </w:rPr>
      </w:pPr>
    </w:p>
    <w:p w:rsidR="000625B9" w:rsidRDefault="000625B9" w:rsidP="000625B9">
      <w:pPr>
        <w:spacing w:line="360" w:lineRule="auto"/>
        <w:ind w:right="2584"/>
        <w:jc w:val="both"/>
        <w:rPr>
          <w:rFonts w:cs="Arial"/>
          <w:color w:val="000000" w:themeColor="text1"/>
          <w:szCs w:val="24"/>
        </w:rPr>
      </w:pPr>
      <w:r w:rsidRPr="000625B9">
        <w:rPr>
          <w:rFonts w:cs="Arial"/>
          <w:color w:val="000000" w:themeColor="text1"/>
          <w:szCs w:val="24"/>
        </w:rPr>
        <w:t xml:space="preserve">Die </w:t>
      </w:r>
      <w:r w:rsidRPr="000625B9">
        <w:rPr>
          <w:rFonts w:cs="Arial"/>
          <w:b/>
          <w:color w:val="000000" w:themeColor="text1"/>
          <w:szCs w:val="24"/>
        </w:rPr>
        <w:t>Umsatzerlöse</w:t>
      </w:r>
      <w:r w:rsidRPr="000625B9">
        <w:rPr>
          <w:rFonts w:cs="Arial"/>
          <w:color w:val="000000" w:themeColor="text1"/>
          <w:szCs w:val="24"/>
        </w:rPr>
        <w:t xml:space="preserve"> hat KSB im ersten Halbjahr um 1,8 % auf 1.465 Mio. € (davon 756 Mio. € im 2. Quartal) gesteigert. Bereinigt um den Währungseffekt von 18 Mio. € wäre der Umsatz um 3,1 % gestiegen. Mit 3,8 % Wachstum auf 201 Mio. € erzielte das Segment Armaturen das stärkste Wachstum. Das Segment Pumpen realisierte ein Umsatzplus von 2,9 % auf 776 Mio. €. In diesem Segment entwickelten sich die Umsatzerlöse in den Märkten Bergbau und Energie mit +0,6 % bzw. -</w:t>
      </w:r>
      <w:r>
        <w:rPr>
          <w:rFonts w:cs="Arial"/>
          <w:color w:val="000000" w:themeColor="text1"/>
          <w:szCs w:val="24"/>
        </w:rPr>
        <w:t> </w:t>
      </w:r>
      <w:r w:rsidRPr="000625B9">
        <w:rPr>
          <w:rFonts w:cs="Arial"/>
          <w:color w:val="000000" w:themeColor="text1"/>
          <w:szCs w:val="24"/>
        </w:rPr>
        <w:t>1,7 % nahezu stabil; die Standardmärkte stiegen um 3,9 % auf 634 Mio. €. KSB </w:t>
      </w:r>
      <w:proofErr w:type="spellStart"/>
      <w:r w:rsidRPr="000625B9">
        <w:rPr>
          <w:rFonts w:cs="Arial"/>
          <w:color w:val="000000" w:themeColor="text1"/>
          <w:szCs w:val="24"/>
        </w:rPr>
        <w:t>SupremeServ</w:t>
      </w:r>
      <w:proofErr w:type="spellEnd"/>
      <w:r w:rsidRPr="000625B9">
        <w:rPr>
          <w:rFonts w:cs="Arial"/>
          <w:color w:val="000000" w:themeColor="text1"/>
          <w:szCs w:val="24"/>
        </w:rPr>
        <w:t xml:space="preserve"> erwirtschaftete aufgrund größerer Ersatzteilaufträge in der Vorjahresperiode in den Märkten Energie und Petrochemie / Chemie sowie negativer Währungseffekte im ersten Halbjahr 2025 mit 488 Mio. € (-0,6 %) nahezu konstante Umsätze im </w:t>
      </w:r>
      <w:r w:rsidRPr="000625B9">
        <w:rPr>
          <w:rFonts w:cs="Arial"/>
          <w:color w:val="000000" w:themeColor="text1"/>
          <w:szCs w:val="24"/>
        </w:rPr>
        <w:lastRenderedPageBreak/>
        <w:t>Vergleich zum Vorjahr. Während die Umsatzerlöse in der Region Mittlerer Osten / Afrika um 8,1 %, in der Region Asien / Pazifik um 5,8 % und in der Region Europa leicht um 1,0 % gestiegen sind, lag die Region Amerika mit -2,8 % unter Vorjahr.</w:t>
      </w:r>
    </w:p>
    <w:p w:rsidR="000625B9" w:rsidRDefault="000625B9" w:rsidP="000625B9">
      <w:pPr>
        <w:spacing w:line="360" w:lineRule="auto"/>
        <w:ind w:right="2584"/>
        <w:jc w:val="both"/>
        <w:rPr>
          <w:rFonts w:cs="Arial"/>
          <w:color w:val="000000" w:themeColor="text1"/>
          <w:szCs w:val="24"/>
        </w:rPr>
      </w:pPr>
    </w:p>
    <w:p w:rsidR="000625B9" w:rsidRDefault="000625B9" w:rsidP="000625B9">
      <w:pPr>
        <w:spacing w:line="360" w:lineRule="auto"/>
        <w:ind w:right="2584"/>
        <w:jc w:val="both"/>
        <w:rPr>
          <w:rFonts w:cs="Arial"/>
          <w:color w:val="000000" w:themeColor="text1"/>
          <w:szCs w:val="24"/>
        </w:rPr>
      </w:pPr>
      <w:r w:rsidRPr="000625B9">
        <w:rPr>
          <w:rFonts w:cs="Arial"/>
          <w:color w:val="000000" w:themeColor="text1"/>
          <w:szCs w:val="24"/>
        </w:rPr>
        <w:t xml:space="preserve">Im ersten Halbjahr 2025 erzielte KSB ein </w:t>
      </w:r>
      <w:r w:rsidRPr="000625B9">
        <w:rPr>
          <w:rFonts w:cs="Arial"/>
          <w:b/>
          <w:color w:val="000000" w:themeColor="text1"/>
          <w:szCs w:val="24"/>
        </w:rPr>
        <w:t xml:space="preserve">EBIT </w:t>
      </w:r>
      <w:r w:rsidRPr="000625B9">
        <w:rPr>
          <w:rFonts w:cs="Arial"/>
          <w:color w:val="000000" w:themeColor="text1"/>
          <w:szCs w:val="24"/>
        </w:rPr>
        <w:t>in Höhe von 108,0 Mio. € bzw. 62,5 Mio. € im 2. Quartal (Vorjahr 116,3 Mio. € bzw. 67,9 Mio. € im 2. Quartal). Belastet wurde dieses EBIT durch externe Transformationskosten für SAP S/4HANA in Höhe von 13,5 Mio. € gegenüber 2,3 Mio. € in der Vorjahresperiode sowie einen translatorischen Währungseffekt von 3,0 Mio. € in 2025. Bereinigt um den SAP S</w:t>
      </w:r>
      <w:r w:rsidR="00B80DF9">
        <w:rPr>
          <w:rFonts w:cs="Arial"/>
          <w:color w:val="000000" w:themeColor="text1"/>
          <w:szCs w:val="24"/>
        </w:rPr>
        <w:t>/</w:t>
      </w:r>
      <w:r w:rsidRPr="000625B9">
        <w:rPr>
          <w:rFonts w:cs="Arial"/>
          <w:color w:val="000000" w:themeColor="text1"/>
          <w:szCs w:val="24"/>
        </w:rPr>
        <w:t>4</w:t>
      </w:r>
      <w:bookmarkStart w:id="0" w:name="_GoBack"/>
      <w:bookmarkEnd w:id="0"/>
      <w:r w:rsidRPr="000625B9">
        <w:rPr>
          <w:rFonts w:cs="Arial"/>
          <w:color w:val="000000" w:themeColor="text1"/>
          <w:szCs w:val="24"/>
        </w:rPr>
        <w:t>HANA-Sondereffekt hat KSB das EBIT im ersten Halbjahr auf 121,5 Mio. € und die EBIT-Marge auf 8,3 % gegenüber einer vergleichbaren Marge von 8,2 % im Vorjahreszeitraum gesteigert. Das Segment Pumpen erzielte vor allem aufgrund der Ergebnissteigerung in den Standardmärkten ein EBIT von 27,3 Mio. € gegenüber 17,6 Mio. € im Vorjahr. Während das EBIT im Segment Armaturen mit -3,5 Mio. € etwas unter dem Vorjahr lag, verringerte es sich im Segment KSB </w:t>
      </w:r>
      <w:proofErr w:type="spellStart"/>
      <w:r w:rsidRPr="000625B9">
        <w:rPr>
          <w:rFonts w:cs="Arial"/>
          <w:color w:val="000000" w:themeColor="text1"/>
          <w:szCs w:val="24"/>
        </w:rPr>
        <w:t>SupremeServ</w:t>
      </w:r>
      <w:proofErr w:type="spellEnd"/>
      <w:r w:rsidRPr="000625B9">
        <w:rPr>
          <w:rFonts w:cs="Arial"/>
          <w:color w:val="000000" w:themeColor="text1"/>
          <w:szCs w:val="24"/>
        </w:rPr>
        <w:t xml:space="preserve"> aufgrund geringerer Ersatzteilverkäufe im Bergbau- und Energiemarkt um 14,8 Mio. € auf 84,2 Mio. €. </w:t>
      </w:r>
    </w:p>
    <w:p w:rsidR="000625B9" w:rsidRPr="000625B9" w:rsidRDefault="000625B9" w:rsidP="000625B9">
      <w:pPr>
        <w:spacing w:line="360" w:lineRule="auto"/>
        <w:ind w:right="2584"/>
        <w:jc w:val="both"/>
        <w:rPr>
          <w:rFonts w:cs="Arial"/>
          <w:color w:val="000000" w:themeColor="text1"/>
          <w:szCs w:val="24"/>
        </w:rPr>
      </w:pPr>
    </w:p>
    <w:p w:rsidR="000625B9" w:rsidRDefault="000625B9" w:rsidP="000625B9">
      <w:pPr>
        <w:spacing w:line="360" w:lineRule="auto"/>
        <w:ind w:right="2584"/>
        <w:jc w:val="both"/>
        <w:rPr>
          <w:rFonts w:cs="Arial"/>
          <w:color w:val="000000" w:themeColor="text1"/>
          <w:szCs w:val="24"/>
        </w:rPr>
      </w:pPr>
      <w:r w:rsidRPr="000625B9">
        <w:rPr>
          <w:rFonts w:cs="Arial"/>
          <w:color w:val="000000" w:themeColor="text1"/>
          <w:szCs w:val="24"/>
        </w:rPr>
        <w:t>Stephan Timmermann erläutert: “Dass wir KSB weiterhin auf Kurs halten, verdanken wir unserer globalen Aufstellung in Vertrieb, Produktion und Service. Damit sichern wir Kundennähe, kurze Lieferzeiten und idealerweise Preisbildung ohne Zolleinflüsse. Das breite Produktportfolio verstärkt diese Resilienz. Wir sind zuversichtlich, das Unternehmen 2025 weiterhin im Zielkorridor für Auftragseingang, Umsatz und Ergebnis zu navigieren.”</w:t>
      </w:r>
    </w:p>
    <w:p w:rsidR="000625B9" w:rsidRDefault="000625B9" w:rsidP="00843F8C">
      <w:pPr>
        <w:spacing w:line="360" w:lineRule="auto"/>
        <w:ind w:right="2584"/>
        <w:jc w:val="both"/>
        <w:rPr>
          <w:rFonts w:cs="Arial"/>
          <w:color w:val="000000" w:themeColor="text1"/>
          <w:szCs w:val="24"/>
        </w:rPr>
      </w:pPr>
    </w:p>
    <w:p w:rsidR="000625B9" w:rsidRDefault="000625B9" w:rsidP="00843F8C">
      <w:pPr>
        <w:spacing w:line="360" w:lineRule="auto"/>
        <w:ind w:right="2584"/>
        <w:jc w:val="both"/>
        <w:rPr>
          <w:rFonts w:cs="Arial"/>
          <w:color w:val="000000" w:themeColor="text1"/>
          <w:szCs w:val="24"/>
        </w:rPr>
      </w:pPr>
    </w:p>
    <w:p w:rsidR="00857E6E" w:rsidRPr="00B21093" w:rsidRDefault="00857E6E" w:rsidP="00857E6E">
      <w:pPr>
        <w:spacing w:line="360" w:lineRule="auto"/>
        <w:ind w:right="2584"/>
        <w:jc w:val="both"/>
        <w:rPr>
          <w:rFonts w:cs="Arial"/>
          <w:i/>
          <w:snapToGrid w:val="0"/>
          <w:color w:val="000000"/>
          <w:sz w:val="18"/>
          <w:szCs w:val="18"/>
        </w:rPr>
      </w:pPr>
      <w:r w:rsidRPr="00B21093">
        <w:rPr>
          <w:rFonts w:cs="Arial"/>
          <w:i/>
          <w:snapToGrid w:val="0"/>
          <w:color w:val="000000" w:themeColor="text1"/>
          <w:sz w:val="18"/>
          <w:szCs w:val="18"/>
        </w:rPr>
        <w:t xml:space="preserve">KSB ist </w:t>
      </w:r>
      <w:r w:rsidRPr="00B21093">
        <w:rPr>
          <w:rFonts w:cs="Arial"/>
          <w:i/>
          <w:snapToGrid w:val="0"/>
          <w:sz w:val="18"/>
          <w:szCs w:val="18"/>
        </w:rPr>
        <w:t xml:space="preserve">ein international führender Hersteller von Pumpen und Armaturen. </w:t>
      </w:r>
      <w:r w:rsidRPr="00B21093">
        <w:rPr>
          <w:rFonts w:cs="Arial"/>
          <w:i/>
          <w:snapToGrid w:val="0"/>
          <w:color w:val="000000"/>
          <w:sz w:val="18"/>
          <w:szCs w:val="18"/>
        </w:rPr>
        <w:t>Der Konzern mit seiner Zentrale in Frankenthal ist mit eigenen Vertriebsgesellschaften, Fertigungsstätten und Service</w:t>
      </w:r>
      <w:r w:rsidRPr="00B21093">
        <w:rPr>
          <w:rFonts w:cs="Arial"/>
          <w:i/>
          <w:snapToGrid w:val="0"/>
          <w:color w:val="000000"/>
          <w:sz w:val="18"/>
          <w:szCs w:val="18"/>
        </w:rPr>
        <w:softHyphen/>
        <w:t>betrieben auf fünf Kontinenten vertreten. Der Konzern hat im Geschäftsjahr 202</w:t>
      </w:r>
      <w:r w:rsidR="00237D7C" w:rsidRPr="00B21093">
        <w:rPr>
          <w:rFonts w:cs="Arial"/>
          <w:i/>
          <w:snapToGrid w:val="0"/>
          <w:color w:val="000000"/>
          <w:sz w:val="18"/>
          <w:szCs w:val="18"/>
        </w:rPr>
        <w:t>4</w:t>
      </w:r>
      <w:r w:rsidR="00F55900" w:rsidRPr="00B21093">
        <w:rPr>
          <w:rFonts w:cs="Arial"/>
          <w:i/>
          <w:snapToGrid w:val="0"/>
          <w:color w:val="000000"/>
          <w:sz w:val="18"/>
          <w:szCs w:val="18"/>
        </w:rPr>
        <w:t xml:space="preserve"> mit </w:t>
      </w:r>
      <w:r w:rsidR="00F55900" w:rsidRPr="00926AA5">
        <w:rPr>
          <w:rFonts w:cs="Arial"/>
          <w:i/>
          <w:snapToGrid w:val="0"/>
          <w:color w:val="000000"/>
          <w:sz w:val="18"/>
          <w:szCs w:val="18"/>
        </w:rPr>
        <w:t>rund 16.</w:t>
      </w:r>
      <w:r w:rsidR="0032296F">
        <w:rPr>
          <w:rFonts w:cs="Arial"/>
          <w:i/>
          <w:snapToGrid w:val="0"/>
          <w:color w:val="000000"/>
          <w:sz w:val="18"/>
          <w:szCs w:val="18"/>
        </w:rPr>
        <w:t>4</w:t>
      </w:r>
      <w:r w:rsidR="00C20864" w:rsidRPr="00926AA5">
        <w:rPr>
          <w:rFonts w:cs="Arial"/>
          <w:i/>
          <w:snapToGrid w:val="0"/>
          <w:color w:val="000000"/>
          <w:sz w:val="18"/>
          <w:szCs w:val="18"/>
        </w:rPr>
        <w:t>00</w:t>
      </w:r>
      <w:r w:rsidRPr="00B21093">
        <w:rPr>
          <w:rFonts w:cs="Arial"/>
          <w:i/>
          <w:snapToGrid w:val="0"/>
          <w:color w:val="000000"/>
          <w:sz w:val="18"/>
          <w:szCs w:val="18"/>
        </w:rPr>
        <w:t xml:space="preserve"> Mit</w:t>
      </w:r>
      <w:r w:rsidR="00237D7C" w:rsidRPr="00B21093">
        <w:rPr>
          <w:rFonts w:cs="Arial"/>
          <w:i/>
          <w:snapToGrid w:val="0"/>
          <w:color w:val="000000"/>
          <w:sz w:val="18"/>
          <w:szCs w:val="18"/>
        </w:rPr>
        <w:t>arbeitern einen Umsatz von ca. 3</w:t>
      </w:r>
      <w:r w:rsidRPr="00B21093">
        <w:rPr>
          <w:rFonts w:cs="Arial"/>
          <w:i/>
          <w:snapToGrid w:val="0"/>
          <w:color w:val="000000"/>
          <w:sz w:val="18"/>
          <w:szCs w:val="18"/>
        </w:rPr>
        <w:t xml:space="preserve"> Mrd. € erzielt.</w:t>
      </w:r>
    </w:p>
    <w:p w:rsidR="002A371D" w:rsidRPr="00B21093" w:rsidRDefault="002A371D" w:rsidP="006C7D03">
      <w:pPr>
        <w:pStyle w:val="titel"/>
        <w:tabs>
          <w:tab w:val="clear" w:pos="0"/>
        </w:tabs>
        <w:ind w:right="2584"/>
        <w:rPr>
          <w:b w:val="0"/>
          <w:color w:val="000000" w:themeColor="text1"/>
          <w:lang w:val="de-DE"/>
        </w:rPr>
      </w:pPr>
    </w:p>
    <w:sectPr w:rsidR="002A371D" w:rsidRPr="00B21093"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012" w:rsidRDefault="00072012">
      <w:r>
        <w:separator/>
      </w:r>
    </w:p>
  </w:endnote>
  <w:endnote w:type="continuationSeparator" w:id="0">
    <w:p w:rsidR="00072012" w:rsidRDefault="00072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1187CF9D" wp14:editId="22347A7A">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68DB3C"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b/>
        <w:color w:val="00579D"/>
        <w:sz w:val="16"/>
      </w:rPr>
      <w:t xml:space="preserve">Herausgeber </w:t>
    </w:r>
    <w:r w:rsidR="00C53317" w:rsidRPr="008B398C">
      <w:rPr>
        <w:b/>
        <w:color w:val="00579D"/>
        <w:sz w:val="16"/>
      </w:rPr>
      <w:tab/>
      <w:t>Ansprechpartner</w:t>
    </w:r>
  </w:p>
  <w:p w:rsidR="009A52F9" w:rsidRPr="00811CEE" w:rsidRDefault="00C53317" w:rsidP="009A52F9">
    <w:pPr>
      <w:pStyle w:val="Fuzeile"/>
      <w:tabs>
        <w:tab w:val="clear" w:pos="4536"/>
        <w:tab w:val="left" w:pos="2410"/>
        <w:tab w:val="left" w:pos="2694"/>
        <w:tab w:val="center" w:pos="4395"/>
        <w:tab w:val="right" w:pos="5529"/>
      </w:tabs>
      <w:rPr>
        <w:color w:val="808080"/>
        <w:sz w:val="16"/>
      </w:rPr>
    </w:pPr>
    <w:r w:rsidRPr="00811CEE">
      <w:rPr>
        <w:color w:val="808080"/>
        <w:sz w:val="16"/>
      </w:rPr>
      <w:t xml:space="preserve">KSB </w:t>
    </w:r>
    <w:r w:rsidR="0058700E">
      <w:rPr>
        <w:color w:val="808080"/>
        <w:sz w:val="16"/>
      </w:rPr>
      <w:t>SE &amp; Co. KGaA</w:t>
    </w:r>
    <w:r>
      <w:rPr>
        <w:color w:val="808080"/>
        <w:sz w:val="16"/>
      </w:rPr>
      <w:tab/>
    </w:r>
    <w:r w:rsidR="009A52F9">
      <w:rPr>
        <w:color w:val="808080"/>
        <w:sz w:val="16"/>
      </w:rPr>
      <w:t>Sonja Ayasse</w:t>
    </w:r>
  </w:p>
  <w:p w:rsidR="009A52F9" w:rsidRPr="00811CEE" w:rsidRDefault="00EE2629" w:rsidP="009A52F9">
    <w:pPr>
      <w:pStyle w:val="Fuzeile"/>
      <w:tabs>
        <w:tab w:val="clear" w:pos="4536"/>
        <w:tab w:val="left" w:pos="2410"/>
        <w:tab w:val="left" w:pos="2694"/>
        <w:tab w:val="center" w:pos="4395"/>
        <w:tab w:val="right" w:pos="5529"/>
      </w:tabs>
      <w:rPr>
        <w:color w:val="808080"/>
        <w:sz w:val="16"/>
      </w:rPr>
    </w:pPr>
    <w:r>
      <w:rPr>
        <w:color w:val="808080"/>
        <w:sz w:val="16"/>
      </w:rPr>
      <w:t xml:space="preserve">Konzernkommunikation </w:t>
    </w:r>
    <w:r w:rsidRPr="00811CEE">
      <w:rPr>
        <w:color w:val="808080"/>
        <w:sz w:val="16"/>
      </w:rPr>
      <w:tab/>
    </w:r>
    <w:r w:rsidR="009A52F9">
      <w:rPr>
        <w:color w:val="808080"/>
        <w:sz w:val="16"/>
      </w:rPr>
      <w:t>Tel + 49 6233 86-3118, Mobil +49 151 22953838</w:t>
    </w:r>
  </w:p>
  <w:p w:rsidR="009A52F9" w:rsidRPr="00811CEE" w:rsidRDefault="009A52F9" w:rsidP="009A52F9">
    <w:pPr>
      <w:pStyle w:val="Fuzeile"/>
      <w:tabs>
        <w:tab w:val="clear" w:pos="4536"/>
        <w:tab w:val="left" w:pos="2410"/>
        <w:tab w:val="left" w:pos="2694"/>
        <w:tab w:val="center" w:pos="4395"/>
        <w:tab w:val="right" w:pos="5529"/>
      </w:tabs>
      <w:rPr>
        <w:color w:val="808080"/>
        <w:sz w:val="16"/>
      </w:rPr>
    </w:pPr>
    <w:r w:rsidRPr="00811CEE">
      <w:rPr>
        <w:color w:val="808080"/>
        <w:sz w:val="16"/>
      </w:rPr>
      <w:t>67227 Frankenthal</w:t>
    </w:r>
    <w:r>
      <w:rPr>
        <w:color w:val="808080"/>
        <w:sz w:val="16"/>
      </w:rPr>
      <w:tab/>
      <w:t>sonja.ayasse@ksb.com</w:t>
    </w:r>
  </w:p>
  <w:p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012" w:rsidRDefault="00072012">
      <w:r>
        <w:separator/>
      </w:r>
    </w:p>
  </w:footnote>
  <w:footnote w:type="continuationSeparator" w:id="0">
    <w:p w:rsidR="00072012" w:rsidRDefault="00072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186C51" w:rsidP="000C3A77">
    <w:pPr>
      <w:pStyle w:val="Kopfzeile"/>
      <w:tabs>
        <w:tab w:val="clear" w:pos="4536"/>
        <w:tab w:val="clear" w:pos="9072"/>
        <w:tab w:val="right" w:pos="9639"/>
        <w:tab w:val="right" w:pos="10915"/>
      </w:tabs>
      <w:ind w:right="991"/>
    </w:pPr>
    <w:r>
      <w:rPr>
        <w:noProof/>
        <w:lang w:val="en-US" w:eastAsia="en-US"/>
      </w:rPr>
      <w:drawing>
        <wp:anchor distT="0" distB="0" distL="114300" distR="114300" simplePos="0" relativeHeight="251658752" behindDoc="0" locked="0" layoutInCell="1" allowOverlap="1" wp14:anchorId="7AEBC66E" wp14:editId="42286CDC">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sidRPr="008B398C">
      <w:rPr>
        <w:b/>
        <w:color w:val="00579D"/>
        <w:sz w:val="40"/>
      </w:rPr>
      <w:t>Presse-Information</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3E51A5A" wp14:editId="2730ADC9">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C09902"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597A42">
      <w:t xml:space="preserve"> </w:t>
    </w:r>
    <w:r w:rsidR="00597A42">
      <w:tab/>
    </w:r>
    <w:r w:rsidR="000625B9">
      <w:t>30</w:t>
    </w:r>
    <w:r w:rsidR="00001B75">
      <w:t xml:space="preserve">. </w:t>
    </w:r>
    <w:r w:rsidR="000625B9">
      <w:t>Juli</w:t>
    </w:r>
    <w:r w:rsidR="00182EE0">
      <w:t xml:space="preserve"> 2025</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B80DF9">
      <w:rPr>
        <w:noProof/>
      </w:rPr>
      <w:t>4</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B80DF9">
      <w:rPr>
        <w:noProof/>
      </w:rPr>
      <w:t>4</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0AD2"/>
    <w:rsid w:val="00001B75"/>
    <w:rsid w:val="000028DF"/>
    <w:rsid w:val="00002EDC"/>
    <w:rsid w:val="00003A4C"/>
    <w:rsid w:val="00003EE4"/>
    <w:rsid w:val="000048E2"/>
    <w:rsid w:val="00005EDD"/>
    <w:rsid w:val="00006372"/>
    <w:rsid w:val="0001218B"/>
    <w:rsid w:val="00012213"/>
    <w:rsid w:val="00012DA9"/>
    <w:rsid w:val="0001331C"/>
    <w:rsid w:val="00015D5C"/>
    <w:rsid w:val="000206E0"/>
    <w:rsid w:val="000215BD"/>
    <w:rsid w:val="00022605"/>
    <w:rsid w:val="00022FE9"/>
    <w:rsid w:val="00023A85"/>
    <w:rsid w:val="00023D07"/>
    <w:rsid w:val="00024E1E"/>
    <w:rsid w:val="00025016"/>
    <w:rsid w:val="0002530A"/>
    <w:rsid w:val="00025E63"/>
    <w:rsid w:val="00026335"/>
    <w:rsid w:val="00026AD1"/>
    <w:rsid w:val="000301CD"/>
    <w:rsid w:val="00031F56"/>
    <w:rsid w:val="0003492F"/>
    <w:rsid w:val="00042292"/>
    <w:rsid w:val="00044FBB"/>
    <w:rsid w:val="0004629B"/>
    <w:rsid w:val="000471F4"/>
    <w:rsid w:val="00050C15"/>
    <w:rsid w:val="00052296"/>
    <w:rsid w:val="00054081"/>
    <w:rsid w:val="00055658"/>
    <w:rsid w:val="00055674"/>
    <w:rsid w:val="00055735"/>
    <w:rsid w:val="00056817"/>
    <w:rsid w:val="000578A5"/>
    <w:rsid w:val="00057B8B"/>
    <w:rsid w:val="000606FD"/>
    <w:rsid w:val="000625B9"/>
    <w:rsid w:val="00062DB2"/>
    <w:rsid w:val="000653E0"/>
    <w:rsid w:val="00066182"/>
    <w:rsid w:val="00066B5A"/>
    <w:rsid w:val="00066C17"/>
    <w:rsid w:val="00070E92"/>
    <w:rsid w:val="000710A1"/>
    <w:rsid w:val="00071487"/>
    <w:rsid w:val="0007180F"/>
    <w:rsid w:val="00072012"/>
    <w:rsid w:val="0007230C"/>
    <w:rsid w:val="00073A5D"/>
    <w:rsid w:val="00074180"/>
    <w:rsid w:val="00075A27"/>
    <w:rsid w:val="00075B66"/>
    <w:rsid w:val="000903EB"/>
    <w:rsid w:val="00090A39"/>
    <w:rsid w:val="0009128E"/>
    <w:rsid w:val="000938EC"/>
    <w:rsid w:val="000940BE"/>
    <w:rsid w:val="00096B4E"/>
    <w:rsid w:val="000A0C18"/>
    <w:rsid w:val="000A2616"/>
    <w:rsid w:val="000A3AF8"/>
    <w:rsid w:val="000A6A2D"/>
    <w:rsid w:val="000A6AED"/>
    <w:rsid w:val="000A7C01"/>
    <w:rsid w:val="000B13CF"/>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09EC"/>
    <w:rsid w:val="000D164A"/>
    <w:rsid w:val="000D2634"/>
    <w:rsid w:val="000D2E5B"/>
    <w:rsid w:val="000D48CC"/>
    <w:rsid w:val="000D6E6A"/>
    <w:rsid w:val="000D7558"/>
    <w:rsid w:val="000E107E"/>
    <w:rsid w:val="000E1FBC"/>
    <w:rsid w:val="000E365C"/>
    <w:rsid w:val="000E6A2B"/>
    <w:rsid w:val="000F221D"/>
    <w:rsid w:val="000F2B29"/>
    <w:rsid w:val="000F2E85"/>
    <w:rsid w:val="000F5D96"/>
    <w:rsid w:val="001033C9"/>
    <w:rsid w:val="001051FF"/>
    <w:rsid w:val="00110356"/>
    <w:rsid w:val="00111E5F"/>
    <w:rsid w:val="001126BA"/>
    <w:rsid w:val="001137ED"/>
    <w:rsid w:val="001147F1"/>
    <w:rsid w:val="001174B5"/>
    <w:rsid w:val="0012125F"/>
    <w:rsid w:val="00121891"/>
    <w:rsid w:val="00123E1E"/>
    <w:rsid w:val="00127C85"/>
    <w:rsid w:val="001311ED"/>
    <w:rsid w:val="00134B37"/>
    <w:rsid w:val="0013507D"/>
    <w:rsid w:val="001351CF"/>
    <w:rsid w:val="001359CB"/>
    <w:rsid w:val="001449F0"/>
    <w:rsid w:val="001455B2"/>
    <w:rsid w:val="00151FBC"/>
    <w:rsid w:val="00152139"/>
    <w:rsid w:val="00154CBB"/>
    <w:rsid w:val="00155C1B"/>
    <w:rsid w:val="001579E1"/>
    <w:rsid w:val="001638D7"/>
    <w:rsid w:val="00163B8F"/>
    <w:rsid w:val="00167A84"/>
    <w:rsid w:val="00171594"/>
    <w:rsid w:val="00177A3E"/>
    <w:rsid w:val="0018024B"/>
    <w:rsid w:val="00182EE0"/>
    <w:rsid w:val="00183B27"/>
    <w:rsid w:val="00183C24"/>
    <w:rsid w:val="00183DF1"/>
    <w:rsid w:val="00186C51"/>
    <w:rsid w:val="00190539"/>
    <w:rsid w:val="00192BE3"/>
    <w:rsid w:val="001A5A9C"/>
    <w:rsid w:val="001A66E1"/>
    <w:rsid w:val="001A681F"/>
    <w:rsid w:val="001B150F"/>
    <w:rsid w:val="001B1F45"/>
    <w:rsid w:val="001B2A07"/>
    <w:rsid w:val="001B31DD"/>
    <w:rsid w:val="001B34D1"/>
    <w:rsid w:val="001C0DE0"/>
    <w:rsid w:val="001C3241"/>
    <w:rsid w:val="001C486C"/>
    <w:rsid w:val="001C6FD6"/>
    <w:rsid w:val="001D073E"/>
    <w:rsid w:val="001D16F8"/>
    <w:rsid w:val="001D3316"/>
    <w:rsid w:val="001D3A78"/>
    <w:rsid w:val="001D4FFC"/>
    <w:rsid w:val="001E023F"/>
    <w:rsid w:val="001E561C"/>
    <w:rsid w:val="001E74E8"/>
    <w:rsid w:val="001F0F09"/>
    <w:rsid w:val="001F30D4"/>
    <w:rsid w:val="001F5DD0"/>
    <w:rsid w:val="001F6155"/>
    <w:rsid w:val="00200036"/>
    <w:rsid w:val="002001A7"/>
    <w:rsid w:val="0020180F"/>
    <w:rsid w:val="00201C33"/>
    <w:rsid w:val="00202F58"/>
    <w:rsid w:val="00206F6F"/>
    <w:rsid w:val="00206FA3"/>
    <w:rsid w:val="0021177D"/>
    <w:rsid w:val="002119AD"/>
    <w:rsid w:val="00211C89"/>
    <w:rsid w:val="00212D64"/>
    <w:rsid w:val="00213DC6"/>
    <w:rsid w:val="00220C13"/>
    <w:rsid w:val="00230190"/>
    <w:rsid w:val="00231E0E"/>
    <w:rsid w:val="00231E33"/>
    <w:rsid w:val="002343FE"/>
    <w:rsid w:val="002374FF"/>
    <w:rsid w:val="00237D7C"/>
    <w:rsid w:val="00237D87"/>
    <w:rsid w:val="002415D4"/>
    <w:rsid w:val="002417AE"/>
    <w:rsid w:val="0024238D"/>
    <w:rsid w:val="00245541"/>
    <w:rsid w:val="00245FD4"/>
    <w:rsid w:val="00250D60"/>
    <w:rsid w:val="00254FFB"/>
    <w:rsid w:val="0025530A"/>
    <w:rsid w:val="0026583E"/>
    <w:rsid w:val="00266AEE"/>
    <w:rsid w:val="00266B09"/>
    <w:rsid w:val="00267D72"/>
    <w:rsid w:val="00270EFA"/>
    <w:rsid w:val="0027567E"/>
    <w:rsid w:val="00276A86"/>
    <w:rsid w:val="00281F9B"/>
    <w:rsid w:val="00284058"/>
    <w:rsid w:val="00284DCA"/>
    <w:rsid w:val="0028694D"/>
    <w:rsid w:val="00291FF8"/>
    <w:rsid w:val="00296388"/>
    <w:rsid w:val="002973BA"/>
    <w:rsid w:val="00297FBA"/>
    <w:rsid w:val="002A371D"/>
    <w:rsid w:val="002A419A"/>
    <w:rsid w:val="002A60F9"/>
    <w:rsid w:val="002A7DB6"/>
    <w:rsid w:val="002B103A"/>
    <w:rsid w:val="002B4B53"/>
    <w:rsid w:val="002C0F55"/>
    <w:rsid w:val="002C154A"/>
    <w:rsid w:val="002C3998"/>
    <w:rsid w:val="002C6BBB"/>
    <w:rsid w:val="002C7AA8"/>
    <w:rsid w:val="002C7B0F"/>
    <w:rsid w:val="002D15EB"/>
    <w:rsid w:val="002D1663"/>
    <w:rsid w:val="002D3054"/>
    <w:rsid w:val="002D5136"/>
    <w:rsid w:val="002E4850"/>
    <w:rsid w:val="002E5B11"/>
    <w:rsid w:val="002E6215"/>
    <w:rsid w:val="002F2EFB"/>
    <w:rsid w:val="002F51C8"/>
    <w:rsid w:val="00300F5C"/>
    <w:rsid w:val="00304B34"/>
    <w:rsid w:val="0030626A"/>
    <w:rsid w:val="003068A2"/>
    <w:rsid w:val="00306CE1"/>
    <w:rsid w:val="00307812"/>
    <w:rsid w:val="003078B9"/>
    <w:rsid w:val="00315527"/>
    <w:rsid w:val="0032296F"/>
    <w:rsid w:val="0032410D"/>
    <w:rsid w:val="00331660"/>
    <w:rsid w:val="00332666"/>
    <w:rsid w:val="00340422"/>
    <w:rsid w:val="00343B96"/>
    <w:rsid w:val="00343CF8"/>
    <w:rsid w:val="00347462"/>
    <w:rsid w:val="00347F0C"/>
    <w:rsid w:val="00347FB5"/>
    <w:rsid w:val="00352AB7"/>
    <w:rsid w:val="00355857"/>
    <w:rsid w:val="00361A1D"/>
    <w:rsid w:val="0036647A"/>
    <w:rsid w:val="003672CD"/>
    <w:rsid w:val="00372493"/>
    <w:rsid w:val="003724DC"/>
    <w:rsid w:val="0037689D"/>
    <w:rsid w:val="00377ABF"/>
    <w:rsid w:val="00383701"/>
    <w:rsid w:val="00384B01"/>
    <w:rsid w:val="00386004"/>
    <w:rsid w:val="00387B50"/>
    <w:rsid w:val="0039256C"/>
    <w:rsid w:val="00394279"/>
    <w:rsid w:val="00395CE5"/>
    <w:rsid w:val="0039643C"/>
    <w:rsid w:val="00396652"/>
    <w:rsid w:val="003A03EB"/>
    <w:rsid w:val="003A2469"/>
    <w:rsid w:val="003A5353"/>
    <w:rsid w:val="003A6930"/>
    <w:rsid w:val="003B24C2"/>
    <w:rsid w:val="003B287E"/>
    <w:rsid w:val="003B4831"/>
    <w:rsid w:val="003B6BFD"/>
    <w:rsid w:val="003C35D2"/>
    <w:rsid w:val="003D1A62"/>
    <w:rsid w:val="003D1A70"/>
    <w:rsid w:val="003D3176"/>
    <w:rsid w:val="003D38F6"/>
    <w:rsid w:val="003D4401"/>
    <w:rsid w:val="003D4944"/>
    <w:rsid w:val="003E55C3"/>
    <w:rsid w:val="003E6607"/>
    <w:rsid w:val="003E6E65"/>
    <w:rsid w:val="003F1A0D"/>
    <w:rsid w:val="003F3F68"/>
    <w:rsid w:val="003F4BA9"/>
    <w:rsid w:val="00400FE7"/>
    <w:rsid w:val="0040272D"/>
    <w:rsid w:val="00403BAB"/>
    <w:rsid w:val="00404095"/>
    <w:rsid w:val="0040684E"/>
    <w:rsid w:val="00410C31"/>
    <w:rsid w:val="00411EEF"/>
    <w:rsid w:val="004122AC"/>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4E9E"/>
    <w:rsid w:val="004756F6"/>
    <w:rsid w:val="00475C6A"/>
    <w:rsid w:val="00480D53"/>
    <w:rsid w:val="00482B7F"/>
    <w:rsid w:val="00482D51"/>
    <w:rsid w:val="00483065"/>
    <w:rsid w:val="00487B99"/>
    <w:rsid w:val="00491FF9"/>
    <w:rsid w:val="0049466E"/>
    <w:rsid w:val="00495DB0"/>
    <w:rsid w:val="00497505"/>
    <w:rsid w:val="004A0F7D"/>
    <w:rsid w:val="004A18BA"/>
    <w:rsid w:val="004A40F1"/>
    <w:rsid w:val="004A6F5D"/>
    <w:rsid w:val="004B0987"/>
    <w:rsid w:val="004B1406"/>
    <w:rsid w:val="004B2767"/>
    <w:rsid w:val="004B2983"/>
    <w:rsid w:val="004B64D6"/>
    <w:rsid w:val="004B680E"/>
    <w:rsid w:val="004B78FA"/>
    <w:rsid w:val="004C07E4"/>
    <w:rsid w:val="004C119F"/>
    <w:rsid w:val="004C290B"/>
    <w:rsid w:val="004C33E7"/>
    <w:rsid w:val="004C6000"/>
    <w:rsid w:val="004D0011"/>
    <w:rsid w:val="004D0104"/>
    <w:rsid w:val="004D10D3"/>
    <w:rsid w:val="004D2B28"/>
    <w:rsid w:val="004D5A6C"/>
    <w:rsid w:val="004D6965"/>
    <w:rsid w:val="004D7DA4"/>
    <w:rsid w:val="004E0235"/>
    <w:rsid w:val="004E0254"/>
    <w:rsid w:val="004E3302"/>
    <w:rsid w:val="004E4EBA"/>
    <w:rsid w:val="004F3C6E"/>
    <w:rsid w:val="004F49A7"/>
    <w:rsid w:val="004F5ACD"/>
    <w:rsid w:val="004F71B9"/>
    <w:rsid w:val="004F73B3"/>
    <w:rsid w:val="005005D4"/>
    <w:rsid w:val="00503026"/>
    <w:rsid w:val="00507149"/>
    <w:rsid w:val="00510CBE"/>
    <w:rsid w:val="00517684"/>
    <w:rsid w:val="0051790B"/>
    <w:rsid w:val="00521C04"/>
    <w:rsid w:val="00522B27"/>
    <w:rsid w:val="00524971"/>
    <w:rsid w:val="00525372"/>
    <w:rsid w:val="00526D1A"/>
    <w:rsid w:val="00530F5B"/>
    <w:rsid w:val="00533F30"/>
    <w:rsid w:val="00537CA2"/>
    <w:rsid w:val="0054302E"/>
    <w:rsid w:val="0054334E"/>
    <w:rsid w:val="005462F3"/>
    <w:rsid w:val="0055012A"/>
    <w:rsid w:val="0055077F"/>
    <w:rsid w:val="005508FD"/>
    <w:rsid w:val="0055331A"/>
    <w:rsid w:val="0055423F"/>
    <w:rsid w:val="005551F0"/>
    <w:rsid w:val="00555910"/>
    <w:rsid w:val="00557273"/>
    <w:rsid w:val="00557D6E"/>
    <w:rsid w:val="00563156"/>
    <w:rsid w:val="00563498"/>
    <w:rsid w:val="005655D4"/>
    <w:rsid w:val="005702FB"/>
    <w:rsid w:val="00570E58"/>
    <w:rsid w:val="0057134F"/>
    <w:rsid w:val="00575CFD"/>
    <w:rsid w:val="00577C77"/>
    <w:rsid w:val="00581FD0"/>
    <w:rsid w:val="0058380D"/>
    <w:rsid w:val="00583FF0"/>
    <w:rsid w:val="005843EE"/>
    <w:rsid w:val="00585B22"/>
    <w:rsid w:val="0058700E"/>
    <w:rsid w:val="00587837"/>
    <w:rsid w:val="00587DF6"/>
    <w:rsid w:val="00591350"/>
    <w:rsid w:val="00591A31"/>
    <w:rsid w:val="00591BDD"/>
    <w:rsid w:val="00593BD8"/>
    <w:rsid w:val="005943DE"/>
    <w:rsid w:val="0059594D"/>
    <w:rsid w:val="00597A42"/>
    <w:rsid w:val="005A3976"/>
    <w:rsid w:val="005A5D87"/>
    <w:rsid w:val="005A5E9D"/>
    <w:rsid w:val="005B0CB9"/>
    <w:rsid w:val="005B0F05"/>
    <w:rsid w:val="005B26B4"/>
    <w:rsid w:val="005B3CA8"/>
    <w:rsid w:val="005B68FE"/>
    <w:rsid w:val="005B76BA"/>
    <w:rsid w:val="005D09C7"/>
    <w:rsid w:val="005D0AA0"/>
    <w:rsid w:val="005D44FB"/>
    <w:rsid w:val="005E1771"/>
    <w:rsid w:val="005E367C"/>
    <w:rsid w:val="005E3F3B"/>
    <w:rsid w:val="005E6D31"/>
    <w:rsid w:val="005F31D4"/>
    <w:rsid w:val="005F3E2E"/>
    <w:rsid w:val="006004CC"/>
    <w:rsid w:val="00600D14"/>
    <w:rsid w:val="0060351B"/>
    <w:rsid w:val="006062EA"/>
    <w:rsid w:val="00607177"/>
    <w:rsid w:val="006100B7"/>
    <w:rsid w:val="00610A30"/>
    <w:rsid w:val="00610C94"/>
    <w:rsid w:val="006114C1"/>
    <w:rsid w:val="006143D8"/>
    <w:rsid w:val="0062099F"/>
    <w:rsid w:val="0062193A"/>
    <w:rsid w:val="006223D6"/>
    <w:rsid w:val="00623909"/>
    <w:rsid w:val="00623E08"/>
    <w:rsid w:val="006242F0"/>
    <w:rsid w:val="00626CC7"/>
    <w:rsid w:val="00626F10"/>
    <w:rsid w:val="0063143D"/>
    <w:rsid w:val="0064349A"/>
    <w:rsid w:val="00643F7D"/>
    <w:rsid w:val="006448DA"/>
    <w:rsid w:val="006457A3"/>
    <w:rsid w:val="006458BB"/>
    <w:rsid w:val="00647B1D"/>
    <w:rsid w:val="0065447A"/>
    <w:rsid w:val="006544D4"/>
    <w:rsid w:val="00655F5A"/>
    <w:rsid w:val="0066107B"/>
    <w:rsid w:val="00661D85"/>
    <w:rsid w:val="0066260F"/>
    <w:rsid w:val="00663A4A"/>
    <w:rsid w:val="00663BD5"/>
    <w:rsid w:val="00663D3A"/>
    <w:rsid w:val="006676A5"/>
    <w:rsid w:val="0066788C"/>
    <w:rsid w:val="00670497"/>
    <w:rsid w:val="00670E34"/>
    <w:rsid w:val="0067482B"/>
    <w:rsid w:val="0067613A"/>
    <w:rsid w:val="00677B0B"/>
    <w:rsid w:val="00681689"/>
    <w:rsid w:val="00686A02"/>
    <w:rsid w:val="00691D96"/>
    <w:rsid w:val="00692CF9"/>
    <w:rsid w:val="00694C57"/>
    <w:rsid w:val="006A17EC"/>
    <w:rsid w:val="006A6E79"/>
    <w:rsid w:val="006A7C69"/>
    <w:rsid w:val="006A7F5B"/>
    <w:rsid w:val="006B05B2"/>
    <w:rsid w:val="006B1EC7"/>
    <w:rsid w:val="006B2CE6"/>
    <w:rsid w:val="006B3192"/>
    <w:rsid w:val="006B33C3"/>
    <w:rsid w:val="006B3C12"/>
    <w:rsid w:val="006B5A80"/>
    <w:rsid w:val="006B6F27"/>
    <w:rsid w:val="006B7465"/>
    <w:rsid w:val="006C0319"/>
    <w:rsid w:val="006C1C13"/>
    <w:rsid w:val="006C223A"/>
    <w:rsid w:val="006C36A5"/>
    <w:rsid w:val="006C4382"/>
    <w:rsid w:val="006C4AFE"/>
    <w:rsid w:val="006C4C16"/>
    <w:rsid w:val="006C59D7"/>
    <w:rsid w:val="006C7D03"/>
    <w:rsid w:val="006D7201"/>
    <w:rsid w:val="006E0858"/>
    <w:rsid w:val="006E0E67"/>
    <w:rsid w:val="006E2E6F"/>
    <w:rsid w:val="006E5A62"/>
    <w:rsid w:val="006E618A"/>
    <w:rsid w:val="006E6817"/>
    <w:rsid w:val="006F038D"/>
    <w:rsid w:val="006F0B4A"/>
    <w:rsid w:val="006F1EA1"/>
    <w:rsid w:val="006F39D7"/>
    <w:rsid w:val="006F47D2"/>
    <w:rsid w:val="006F4B1F"/>
    <w:rsid w:val="006F6A1D"/>
    <w:rsid w:val="00701E21"/>
    <w:rsid w:val="007033EB"/>
    <w:rsid w:val="00703C1F"/>
    <w:rsid w:val="0070426B"/>
    <w:rsid w:val="007047A4"/>
    <w:rsid w:val="00704865"/>
    <w:rsid w:val="00704BC3"/>
    <w:rsid w:val="0070681E"/>
    <w:rsid w:val="00707C7F"/>
    <w:rsid w:val="00714684"/>
    <w:rsid w:val="00720112"/>
    <w:rsid w:val="00722781"/>
    <w:rsid w:val="00723693"/>
    <w:rsid w:val="00724E0B"/>
    <w:rsid w:val="007362E1"/>
    <w:rsid w:val="00737F95"/>
    <w:rsid w:val="00741413"/>
    <w:rsid w:val="00741DFC"/>
    <w:rsid w:val="00744517"/>
    <w:rsid w:val="007453EF"/>
    <w:rsid w:val="00747B97"/>
    <w:rsid w:val="007513DD"/>
    <w:rsid w:val="007533E0"/>
    <w:rsid w:val="0075340F"/>
    <w:rsid w:val="00754B88"/>
    <w:rsid w:val="00755159"/>
    <w:rsid w:val="007555FF"/>
    <w:rsid w:val="007575B4"/>
    <w:rsid w:val="007603A8"/>
    <w:rsid w:val="0076151C"/>
    <w:rsid w:val="007621BF"/>
    <w:rsid w:val="007670E0"/>
    <w:rsid w:val="00767CB3"/>
    <w:rsid w:val="00771D11"/>
    <w:rsid w:val="00774A3D"/>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0108"/>
    <w:rsid w:val="007E14B4"/>
    <w:rsid w:val="007E15E2"/>
    <w:rsid w:val="007E16F7"/>
    <w:rsid w:val="007E2775"/>
    <w:rsid w:val="007E5835"/>
    <w:rsid w:val="007E5B85"/>
    <w:rsid w:val="007E63E1"/>
    <w:rsid w:val="007F0DAF"/>
    <w:rsid w:val="007F0EFF"/>
    <w:rsid w:val="007F4D82"/>
    <w:rsid w:val="007F5B46"/>
    <w:rsid w:val="007F67D2"/>
    <w:rsid w:val="007F7694"/>
    <w:rsid w:val="00803A7C"/>
    <w:rsid w:val="00803FFC"/>
    <w:rsid w:val="00805C67"/>
    <w:rsid w:val="00807249"/>
    <w:rsid w:val="008076ED"/>
    <w:rsid w:val="008112B4"/>
    <w:rsid w:val="00813226"/>
    <w:rsid w:val="00813FFB"/>
    <w:rsid w:val="00814132"/>
    <w:rsid w:val="008147FE"/>
    <w:rsid w:val="00817137"/>
    <w:rsid w:val="00822908"/>
    <w:rsid w:val="00825F80"/>
    <w:rsid w:val="00826647"/>
    <w:rsid w:val="008267B7"/>
    <w:rsid w:val="00826C50"/>
    <w:rsid w:val="00827764"/>
    <w:rsid w:val="008331CD"/>
    <w:rsid w:val="00833D86"/>
    <w:rsid w:val="00835DA1"/>
    <w:rsid w:val="00841E06"/>
    <w:rsid w:val="00843F8C"/>
    <w:rsid w:val="00856D47"/>
    <w:rsid w:val="00857139"/>
    <w:rsid w:val="00857E6E"/>
    <w:rsid w:val="008674BB"/>
    <w:rsid w:val="008679D8"/>
    <w:rsid w:val="00870D5C"/>
    <w:rsid w:val="00871559"/>
    <w:rsid w:val="008738AA"/>
    <w:rsid w:val="008738B9"/>
    <w:rsid w:val="00874AA4"/>
    <w:rsid w:val="0088073F"/>
    <w:rsid w:val="00881105"/>
    <w:rsid w:val="0088121C"/>
    <w:rsid w:val="00881E8A"/>
    <w:rsid w:val="00883932"/>
    <w:rsid w:val="0088527F"/>
    <w:rsid w:val="00886500"/>
    <w:rsid w:val="00897FA2"/>
    <w:rsid w:val="008A43B6"/>
    <w:rsid w:val="008A56AE"/>
    <w:rsid w:val="008A660B"/>
    <w:rsid w:val="008A7646"/>
    <w:rsid w:val="008B1C8E"/>
    <w:rsid w:val="008B2E2A"/>
    <w:rsid w:val="008B2E8C"/>
    <w:rsid w:val="008B398C"/>
    <w:rsid w:val="008B470C"/>
    <w:rsid w:val="008C2F81"/>
    <w:rsid w:val="008C4597"/>
    <w:rsid w:val="008D026C"/>
    <w:rsid w:val="008D12CC"/>
    <w:rsid w:val="008D133C"/>
    <w:rsid w:val="008D246B"/>
    <w:rsid w:val="008D4ABD"/>
    <w:rsid w:val="008D6AB4"/>
    <w:rsid w:val="008D7EDB"/>
    <w:rsid w:val="008E2D0E"/>
    <w:rsid w:val="008E381A"/>
    <w:rsid w:val="008E3A92"/>
    <w:rsid w:val="008E4295"/>
    <w:rsid w:val="008E50C4"/>
    <w:rsid w:val="008F1E15"/>
    <w:rsid w:val="008F481A"/>
    <w:rsid w:val="008F5AE0"/>
    <w:rsid w:val="008F7943"/>
    <w:rsid w:val="00900993"/>
    <w:rsid w:val="009102F2"/>
    <w:rsid w:val="00911A71"/>
    <w:rsid w:val="00913512"/>
    <w:rsid w:val="00916523"/>
    <w:rsid w:val="009175D3"/>
    <w:rsid w:val="00917E9D"/>
    <w:rsid w:val="00920E20"/>
    <w:rsid w:val="00922068"/>
    <w:rsid w:val="00924FA3"/>
    <w:rsid w:val="009251D5"/>
    <w:rsid w:val="00926AA5"/>
    <w:rsid w:val="00934B94"/>
    <w:rsid w:val="009374A0"/>
    <w:rsid w:val="00943667"/>
    <w:rsid w:val="00943AE3"/>
    <w:rsid w:val="00943B2E"/>
    <w:rsid w:val="00945760"/>
    <w:rsid w:val="00953231"/>
    <w:rsid w:val="00953461"/>
    <w:rsid w:val="009542FD"/>
    <w:rsid w:val="00955B37"/>
    <w:rsid w:val="0095664D"/>
    <w:rsid w:val="00964267"/>
    <w:rsid w:val="00964672"/>
    <w:rsid w:val="00965FC2"/>
    <w:rsid w:val="00966861"/>
    <w:rsid w:val="00966C14"/>
    <w:rsid w:val="00967063"/>
    <w:rsid w:val="00967D40"/>
    <w:rsid w:val="0097022B"/>
    <w:rsid w:val="00971B50"/>
    <w:rsid w:val="00972842"/>
    <w:rsid w:val="00973308"/>
    <w:rsid w:val="00975B68"/>
    <w:rsid w:val="00977C39"/>
    <w:rsid w:val="00983357"/>
    <w:rsid w:val="00986EF0"/>
    <w:rsid w:val="009872DA"/>
    <w:rsid w:val="00994B88"/>
    <w:rsid w:val="00994E62"/>
    <w:rsid w:val="00996441"/>
    <w:rsid w:val="009A52F9"/>
    <w:rsid w:val="009A7A90"/>
    <w:rsid w:val="009B0CC3"/>
    <w:rsid w:val="009B1514"/>
    <w:rsid w:val="009B1D31"/>
    <w:rsid w:val="009B39A9"/>
    <w:rsid w:val="009B51C7"/>
    <w:rsid w:val="009B5F4A"/>
    <w:rsid w:val="009C098D"/>
    <w:rsid w:val="009C1050"/>
    <w:rsid w:val="009C1983"/>
    <w:rsid w:val="009C38F8"/>
    <w:rsid w:val="009C6BE9"/>
    <w:rsid w:val="009C7EDE"/>
    <w:rsid w:val="009D0A13"/>
    <w:rsid w:val="009D0C29"/>
    <w:rsid w:val="009D746F"/>
    <w:rsid w:val="009E0112"/>
    <w:rsid w:val="009E3B07"/>
    <w:rsid w:val="009E3B9F"/>
    <w:rsid w:val="009E46BB"/>
    <w:rsid w:val="009E6662"/>
    <w:rsid w:val="009F02FF"/>
    <w:rsid w:val="009F5B64"/>
    <w:rsid w:val="00A008E0"/>
    <w:rsid w:val="00A03BC6"/>
    <w:rsid w:val="00A103E9"/>
    <w:rsid w:val="00A11B76"/>
    <w:rsid w:val="00A12334"/>
    <w:rsid w:val="00A12374"/>
    <w:rsid w:val="00A127A4"/>
    <w:rsid w:val="00A15B08"/>
    <w:rsid w:val="00A15CE6"/>
    <w:rsid w:val="00A17158"/>
    <w:rsid w:val="00A276E9"/>
    <w:rsid w:val="00A31F26"/>
    <w:rsid w:val="00A3345E"/>
    <w:rsid w:val="00A35232"/>
    <w:rsid w:val="00A3634D"/>
    <w:rsid w:val="00A37018"/>
    <w:rsid w:val="00A37237"/>
    <w:rsid w:val="00A37382"/>
    <w:rsid w:val="00A40611"/>
    <w:rsid w:val="00A42B3A"/>
    <w:rsid w:val="00A42EB4"/>
    <w:rsid w:val="00A47CCC"/>
    <w:rsid w:val="00A556ED"/>
    <w:rsid w:val="00A55F5B"/>
    <w:rsid w:val="00A56F64"/>
    <w:rsid w:val="00A65204"/>
    <w:rsid w:val="00A66C47"/>
    <w:rsid w:val="00A7157B"/>
    <w:rsid w:val="00A726DD"/>
    <w:rsid w:val="00A807E3"/>
    <w:rsid w:val="00A860DA"/>
    <w:rsid w:val="00A86AB3"/>
    <w:rsid w:val="00A91234"/>
    <w:rsid w:val="00A9146A"/>
    <w:rsid w:val="00A93699"/>
    <w:rsid w:val="00A93C25"/>
    <w:rsid w:val="00A96DC0"/>
    <w:rsid w:val="00AA1C31"/>
    <w:rsid w:val="00AA218C"/>
    <w:rsid w:val="00AA2DAF"/>
    <w:rsid w:val="00AA324D"/>
    <w:rsid w:val="00AA3FA0"/>
    <w:rsid w:val="00AA787E"/>
    <w:rsid w:val="00AA7CF3"/>
    <w:rsid w:val="00AB0E12"/>
    <w:rsid w:val="00AB1888"/>
    <w:rsid w:val="00AB26CF"/>
    <w:rsid w:val="00AB32F4"/>
    <w:rsid w:val="00AB5483"/>
    <w:rsid w:val="00AB5CC8"/>
    <w:rsid w:val="00AB7A88"/>
    <w:rsid w:val="00AC0CB2"/>
    <w:rsid w:val="00AC464A"/>
    <w:rsid w:val="00AC4656"/>
    <w:rsid w:val="00AC5A80"/>
    <w:rsid w:val="00AC7057"/>
    <w:rsid w:val="00AD28CA"/>
    <w:rsid w:val="00AD4012"/>
    <w:rsid w:val="00AD41D6"/>
    <w:rsid w:val="00AD526D"/>
    <w:rsid w:val="00AD6AD4"/>
    <w:rsid w:val="00AD7A76"/>
    <w:rsid w:val="00AE2E7A"/>
    <w:rsid w:val="00AE34D5"/>
    <w:rsid w:val="00AE41E1"/>
    <w:rsid w:val="00AE5AAB"/>
    <w:rsid w:val="00AE6333"/>
    <w:rsid w:val="00AF1FD7"/>
    <w:rsid w:val="00AF476F"/>
    <w:rsid w:val="00AF4D13"/>
    <w:rsid w:val="00AF6026"/>
    <w:rsid w:val="00AF6082"/>
    <w:rsid w:val="00B007A9"/>
    <w:rsid w:val="00B00978"/>
    <w:rsid w:val="00B039CE"/>
    <w:rsid w:val="00B04DE2"/>
    <w:rsid w:val="00B057BA"/>
    <w:rsid w:val="00B05C94"/>
    <w:rsid w:val="00B0699B"/>
    <w:rsid w:val="00B07C2A"/>
    <w:rsid w:val="00B12102"/>
    <w:rsid w:val="00B1352A"/>
    <w:rsid w:val="00B14A02"/>
    <w:rsid w:val="00B16EAA"/>
    <w:rsid w:val="00B21093"/>
    <w:rsid w:val="00B218D0"/>
    <w:rsid w:val="00B21FB4"/>
    <w:rsid w:val="00B22D04"/>
    <w:rsid w:val="00B24132"/>
    <w:rsid w:val="00B24C54"/>
    <w:rsid w:val="00B25061"/>
    <w:rsid w:val="00B306B5"/>
    <w:rsid w:val="00B32352"/>
    <w:rsid w:val="00B329A7"/>
    <w:rsid w:val="00B3542C"/>
    <w:rsid w:val="00B37055"/>
    <w:rsid w:val="00B41025"/>
    <w:rsid w:val="00B431E9"/>
    <w:rsid w:val="00B447ED"/>
    <w:rsid w:val="00B47357"/>
    <w:rsid w:val="00B501E0"/>
    <w:rsid w:val="00B51F19"/>
    <w:rsid w:val="00B53C72"/>
    <w:rsid w:val="00B54BE5"/>
    <w:rsid w:val="00B558F8"/>
    <w:rsid w:val="00B566A0"/>
    <w:rsid w:val="00B56F9B"/>
    <w:rsid w:val="00B606B8"/>
    <w:rsid w:val="00B62D18"/>
    <w:rsid w:val="00B7113F"/>
    <w:rsid w:val="00B715E3"/>
    <w:rsid w:val="00B71B8F"/>
    <w:rsid w:val="00B71E05"/>
    <w:rsid w:val="00B72051"/>
    <w:rsid w:val="00B7266C"/>
    <w:rsid w:val="00B7544D"/>
    <w:rsid w:val="00B76004"/>
    <w:rsid w:val="00B80CC2"/>
    <w:rsid w:val="00B80D6B"/>
    <w:rsid w:val="00B80DF9"/>
    <w:rsid w:val="00B8141E"/>
    <w:rsid w:val="00B81A77"/>
    <w:rsid w:val="00B82055"/>
    <w:rsid w:val="00B84EF7"/>
    <w:rsid w:val="00B87729"/>
    <w:rsid w:val="00B87D4D"/>
    <w:rsid w:val="00B91DCC"/>
    <w:rsid w:val="00B92714"/>
    <w:rsid w:val="00B93CEC"/>
    <w:rsid w:val="00B9786D"/>
    <w:rsid w:val="00BA21A3"/>
    <w:rsid w:val="00BA22D4"/>
    <w:rsid w:val="00BA2838"/>
    <w:rsid w:val="00BB09F9"/>
    <w:rsid w:val="00BB1521"/>
    <w:rsid w:val="00BB1B96"/>
    <w:rsid w:val="00BB5BC2"/>
    <w:rsid w:val="00BB7284"/>
    <w:rsid w:val="00BB788D"/>
    <w:rsid w:val="00BC135E"/>
    <w:rsid w:val="00BC24CF"/>
    <w:rsid w:val="00BC3555"/>
    <w:rsid w:val="00BC42A8"/>
    <w:rsid w:val="00BC492D"/>
    <w:rsid w:val="00BC5415"/>
    <w:rsid w:val="00BC5F3E"/>
    <w:rsid w:val="00BD27F6"/>
    <w:rsid w:val="00BD42C7"/>
    <w:rsid w:val="00BD4BB1"/>
    <w:rsid w:val="00BD5F32"/>
    <w:rsid w:val="00BD72F9"/>
    <w:rsid w:val="00BD7510"/>
    <w:rsid w:val="00BE068F"/>
    <w:rsid w:val="00BE12E4"/>
    <w:rsid w:val="00BE1F63"/>
    <w:rsid w:val="00BF059A"/>
    <w:rsid w:val="00BF2734"/>
    <w:rsid w:val="00BF486D"/>
    <w:rsid w:val="00BF78A6"/>
    <w:rsid w:val="00C025FD"/>
    <w:rsid w:val="00C02732"/>
    <w:rsid w:val="00C03B8C"/>
    <w:rsid w:val="00C05DC6"/>
    <w:rsid w:val="00C05F55"/>
    <w:rsid w:val="00C07702"/>
    <w:rsid w:val="00C16D8A"/>
    <w:rsid w:val="00C20864"/>
    <w:rsid w:val="00C2370F"/>
    <w:rsid w:val="00C266F5"/>
    <w:rsid w:val="00C32918"/>
    <w:rsid w:val="00C35555"/>
    <w:rsid w:val="00C44DC7"/>
    <w:rsid w:val="00C5218F"/>
    <w:rsid w:val="00C53317"/>
    <w:rsid w:val="00C53CA5"/>
    <w:rsid w:val="00C53E6D"/>
    <w:rsid w:val="00C55438"/>
    <w:rsid w:val="00C60AC9"/>
    <w:rsid w:val="00C63B4C"/>
    <w:rsid w:val="00C652AC"/>
    <w:rsid w:val="00C703D7"/>
    <w:rsid w:val="00C72DED"/>
    <w:rsid w:val="00C737DA"/>
    <w:rsid w:val="00C73C83"/>
    <w:rsid w:val="00C75766"/>
    <w:rsid w:val="00C758CE"/>
    <w:rsid w:val="00C81634"/>
    <w:rsid w:val="00C81722"/>
    <w:rsid w:val="00C83812"/>
    <w:rsid w:val="00C84FEC"/>
    <w:rsid w:val="00C90967"/>
    <w:rsid w:val="00C9481E"/>
    <w:rsid w:val="00C9514D"/>
    <w:rsid w:val="00C95904"/>
    <w:rsid w:val="00C95C9E"/>
    <w:rsid w:val="00CA285B"/>
    <w:rsid w:val="00CA398F"/>
    <w:rsid w:val="00CA3BEA"/>
    <w:rsid w:val="00CA4654"/>
    <w:rsid w:val="00CA50BA"/>
    <w:rsid w:val="00CA5F91"/>
    <w:rsid w:val="00CA6249"/>
    <w:rsid w:val="00CA6957"/>
    <w:rsid w:val="00CB0E5E"/>
    <w:rsid w:val="00CB11C4"/>
    <w:rsid w:val="00CB38B7"/>
    <w:rsid w:val="00CB45C8"/>
    <w:rsid w:val="00CB705E"/>
    <w:rsid w:val="00CB70D4"/>
    <w:rsid w:val="00CB77A9"/>
    <w:rsid w:val="00CC3032"/>
    <w:rsid w:val="00CC391A"/>
    <w:rsid w:val="00CC41EE"/>
    <w:rsid w:val="00CC7267"/>
    <w:rsid w:val="00CE1077"/>
    <w:rsid w:val="00CE7DA7"/>
    <w:rsid w:val="00CF1EE4"/>
    <w:rsid w:val="00CF21AA"/>
    <w:rsid w:val="00CF62A8"/>
    <w:rsid w:val="00D00574"/>
    <w:rsid w:val="00D01889"/>
    <w:rsid w:val="00D0594D"/>
    <w:rsid w:val="00D0627A"/>
    <w:rsid w:val="00D0734F"/>
    <w:rsid w:val="00D138AF"/>
    <w:rsid w:val="00D14C5B"/>
    <w:rsid w:val="00D14F58"/>
    <w:rsid w:val="00D16ED9"/>
    <w:rsid w:val="00D212AB"/>
    <w:rsid w:val="00D24ABC"/>
    <w:rsid w:val="00D2660A"/>
    <w:rsid w:val="00D304A6"/>
    <w:rsid w:val="00D30620"/>
    <w:rsid w:val="00D329F9"/>
    <w:rsid w:val="00D34CA6"/>
    <w:rsid w:val="00D43D34"/>
    <w:rsid w:val="00D475FA"/>
    <w:rsid w:val="00D51C72"/>
    <w:rsid w:val="00D51D19"/>
    <w:rsid w:val="00D55F33"/>
    <w:rsid w:val="00D56A18"/>
    <w:rsid w:val="00D57798"/>
    <w:rsid w:val="00D5790D"/>
    <w:rsid w:val="00D63FD6"/>
    <w:rsid w:val="00D65C12"/>
    <w:rsid w:val="00D72D99"/>
    <w:rsid w:val="00D75B11"/>
    <w:rsid w:val="00D7687B"/>
    <w:rsid w:val="00D77FFD"/>
    <w:rsid w:val="00D8094C"/>
    <w:rsid w:val="00D824D8"/>
    <w:rsid w:val="00D825AD"/>
    <w:rsid w:val="00D86834"/>
    <w:rsid w:val="00D9034B"/>
    <w:rsid w:val="00D9241E"/>
    <w:rsid w:val="00D9313B"/>
    <w:rsid w:val="00D94154"/>
    <w:rsid w:val="00D94C89"/>
    <w:rsid w:val="00D9691E"/>
    <w:rsid w:val="00DA14E5"/>
    <w:rsid w:val="00DA4649"/>
    <w:rsid w:val="00DA484C"/>
    <w:rsid w:val="00DA700C"/>
    <w:rsid w:val="00DB1A85"/>
    <w:rsid w:val="00DB20B1"/>
    <w:rsid w:val="00DB370E"/>
    <w:rsid w:val="00DB62B6"/>
    <w:rsid w:val="00DC04E7"/>
    <w:rsid w:val="00DC49FF"/>
    <w:rsid w:val="00DC54E5"/>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05EC1"/>
    <w:rsid w:val="00E1134F"/>
    <w:rsid w:val="00E129EF"/>
    <w:rsid w:val="00E1324B"/>
    <w:rsid w:val="00E1336D"/>
    <w:rsid w:val="00E13A9B"/>
    <w:rsid w:val="00E13B90"/>
    <w:rsid w:val="00E14A2B"/>
    <w:rsid w:val="00E164BB"/>
    <w:rsid w:val="00E1660E"/>
    <w:rsid w:val="00E203AE"/>
    <w:rsid w:val="00E241C8"/>
    <w:rsid w:val="00E27413"/>
    <w:rsid w:val="00E3199F"/>
    <w:rsid w:val="00E33F1F"/>
    <w:rsid w:val="00E3486F"/>
    <w:rsid w:val="00E36AC2"/>
    <w:rsid w:val="00E4063D"/>
    <w:rsid w:val="00E40754"/>
    <w:rsid w:val="00E41032"/>
    <w:rsid w:val="00E41744"/>
    <w:rsid w:val="00E41E17"/>
    <w:rsid w:val="00E42AB6"/>
    <w:rsid w:val="00E45405"/>
    <w:rsid w:val="00E4599E"/>
    <w:rsid w:val="00E464FA"/>
    <w:rsid w:val="00E5036E"/>
    <w:rsid w:val="00E6011D"/>
    <w:rsid w:val="00E614CA"/>
    <w:rsid w:val="00E621A2"/>
    <w:rsid w:val="00E636EA"/>
    <w:rsid w:val="00E64D9D"/>
    <w:rsid w:val="00E70261"/>
    <w:rsid w:val="00E72B00"/>
    <w:rsid w:val="00E73CDF"/>
    <w:rsid w:val="00E74681"/>
    <w:rsid w:val="00E75B07"/>
    <w:rsid w:val="00E77B4A"/>
    <w:rsid w:val="00E81DAD"/>
    <w:rsid w:val="00E85A56"/>
    <w:rsid w:val="00E86E74"/>
    <w:rsid w:val="00E875C6"/>
    <w:rsid w:val="00E878A0"/>
    <w:rsid w:val="00E9082A"/>
    <w:rsid w:val="00E91024"/>
    <w:rsid w:val="00E929E8"/>
    <w:rsid w:val="00E92BAE"/>
    <w:rsid w:val="00E93197"/>
    <w:rsid w:val="00E972D6"/>
    <w:rsid w:val="00EA4179"/>
    <w:rsid w:val="00EA430B"/>
    <w:rsid w:val="00EA46E3"/>
    <w:rsid w:val="00EA5056"/>
    <w:rsid w:val="00EA6EC1"/>
    <w:rsid w:val="00EA7E07"/>
    <w:rsid w:val="00EB0097"/>
    <w:rsid w:val="00EB07D4"/>
    <w:rsid w:val="00EB28F7"/>
    <w:rsid w:val="00EB2CF6"/>
    <w:rsid w:val="00EB2FE8"/>
    <w:rsid w:val="00EB49A9"/>
    <w:rsid w:val="00EB7517"/>
    <w:rsid w:val="00EC05D5"/>
    <w:rsid w:val="00EC2009"/>
    <w:rsid w:val="00EC2F18"/>
    <w:rsid w:val="00EC4283"/>
    <w:rsid w:val="00EC44A4"/>
    <w:rsid w:val="00EC5F6F"/>
    <w:rsid w:val="00EC7680"/>
    <w:rsid w:val="00EC7FF4"/>
    <w:rsid w:val="00ED3A0B"/>
    <w:rsid w:val="00ED4D3E"/>
    <w:rsid w:val="00ED5EF6"/>
    <w:rsid w:val="00ED71D9"/>
    <w:rsid w:val="00ED72A2"/>
    <w:rsid w:val="00ED75F4"/>
    <w:rsid w:val="00EE2629"/>
    <w:rsid w:val="00EE42D2"/>
    <w:rsid w:val="00EE4668"/>
    <w:rsid w:val="00EE6423"/>
    <w:rsid w:val="00EE6D95"/>
    <w:rsid w:val="00EF1B86"/>
    <w:rsid w:val="00EF1D35"/>
    <w:rsid w:val="00EF37F8"/>
    <w:rsid w:val="00EF5622"/>
    <w:rsid w:val="00EF690F"/>
    <w:rsid w:val="00EF7AB4"/>
    <w:rsid w:val="00F005F3"/>
    <w:rsid w:val="00F012FF"/>
    <w:rsid w:val="00F0290A"/>
    <w:rsid w:val="00F02E40"/>
    <w:rsid w:val="00F03B18"/>
    <w:rsid w:val="00F05168"/>
    <w:rsid w:val="00F1107E"/>
    <w:rsid w:val="00F155DD"/>
    <w:rsid w:val="00F15BA6"/>
    <w:rsid w:val="00F17E9F"/>
    <w:rsid w:val="00F20903"/>
    <w:rsid w:val="00F27B59"/>
    <w:rsid w:val="00F30904"/>
    <w:rsid w:val="00F30AA2"/>
    <w:rsid w:val="00F32F80"/>
    <w:rsid w:val="00F3568E"/>
    <w:rsid w:val="00F36DC1"/>
    <w:rsid w:val="00F40452"/>
    <w:rsid w:val="00F40858"/>
    <w:rsid w:val="00F41DE3"/>
    <w:rsid w:val="00F42EEC"/>
    <w:rsid w:val="00F43380"/>
    <w:rsid w:val="00F436F3"/>
    <w:rsid w:val="00F43B99"/>
    <w:rsid w:val="00F457D9"/>
    <w:rsid w:val="00F45AEE"/>
    <w:rsid w:val="00F45D65"/>
    <w:rsid w:val="00F46EAE"/>
    <w:rsid w:val="00F539E8"/>
    <w:rsid w:val="00F53E96"/>
    <w:rsid w:val="00F5519A"/>
    <w:rsid w:val="00F55900"/>
    <w:rsid w:val="00F56CDB"/>
    <w:rsid w:val="00F57241"/>
    <w:rsid w:val="00F62768"/>
    <w:rsid w:val="00F6417E"/>
    <w:rsid w:val="00F66F63"/>
    <w:rsid w:val="00F67352"/>
    <w:rsid w:val="00F67C22"/>
    <w:rsid w:val="00F705C0"/>
    <w:rsid w:val="00F7133A"/>
    <w:rsid w:val="00F73947"/>
    <w:rsid w:val="00F73C4A"/>
    <w:rsid w:val="00F73E91"/>
    <w:rsid w:val="00F762F2"/>
    <w:rsid w:val="00F82382"/>
    <w:rsid w:val="00F86E66"/>
    <w:rsid w:val="00F8716B"/>
    <w:rsid w:val="00F90739"/>
    <w:rsid w:val="00F930C6"/>
    <w:rsid w:val="00F969F9"/>
    <w:rsid w:val="00F96A98"/>
    <w:rsid w:val="00FA015E"/>
    <w:rsid w:val="00FA06C8"/>
    <w:rsid w:val="00FA0B24"/>
    <w:rsid w:val="00FA1695"/>
    <w:rsid w:val="00FA29C5"/>
    <w:rsid w:val="00FA2CDE"/>
    <w:rsid w:val="00FA45D3"/>
    <w:rsid w:val="00FA53F8"/>
    <w:rsid w:val="00FA7BEE"/>
    <w:rsid w:val="00FB0A92"/>
    <w:rsid w:val="00FB439B"/>
    <w:rsid w:val="00FB47D6"/>
    <w:rsid w:val="00FB6F22"/>
    <w:rsid w:val="00FC0D4A"/>
    <w:rsid w:val="00FC4EDF"/>
    <w:rsid w:val="00FC4FDC"/>
    <w:rsid w:val="00FC7EA8"/>
    <w:rsid w:val="00FD198B"/>
    <w:rsid w:val="00FD2B6F"/>
    <w:rsid w:val="00FD3373"/>
    <w:rsid w:val="00FD6D4B"/>
    <w:rsid w:val="00FE3A96"/>
    <w:rsid w:val="00FE52BE"/>
    <w:rsid w:val="00FE65AA"/>
    <w:rsid w:val="00FE6ADC"/>
    <w:rsid w:val="00FE7D99"/>
    <w:rsid w:val="00FF2CA1"/>
    <w:rsid w:val="00FF506C"/>
    <w:rsid w:val="00FF5C32"/>
    <w:rsid w:val="00FF5DCB"/>
    <w:rsid w:val="00FF63F3"/>
    <w:rsid w:val="00FF6E9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DCB65A7"/>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de-DE" w:eastAsia="de-DE"/>
    </w:rPr>
  </w:style>
  <w:style w:type="character" w:styleId="SchwacherVerweis">
    <w:name w:val="Subtle Reference"/>
    <w:basedOn w:val="Absatz-Standardschriftart"/>
    <w:uiPriority w:val="31"/>
    <w:qFormat/>
    <w:rsid w:val="00A93699"/>
    <w:rPr>
      <w:smallCaps/>
      <w:color w:val="5A5A5A" w:themeColor="text1" w:themeTint="A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3613972">
      <w:bodyDiv w:val="1"/>
      <w:marLeft w:val="0"/>
      <w:marRight w:val="0"/>
      <w:marTop w:val="0"/>
      <w:marBottom w:val="0"/>
      <w:divBdr>
        <w:top w:val="none" w:sz="0" w:space="0" w:color="auto"/>
        <w:left w:val="none" w:sz="0" w:space="0" w:color="auto"/>
        <w:bottom w:val="none" w:sz="0" w:space="0" w:color="auto"/>
        <w:right w:val="none" w:sz="0" w:space="0" w:color="auto"/>
      </w:divBdr>
    </w:div>
    <w:div w:id="723145115">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543858309">
      <w:bodyDiv w:val="1"/>
      <w:marLeft w:val="0"/>
      <w:marRight w:val="0"/>
      <w:marTop w:val="0"/>
      <w:marBottom w:val="0"/>
      <w:divBdr>
        <w:top w:val="none" w:sz="0" w:space="0" w:color="auto"/>
        <w:left w:val="none" w:sz="0" w:space="0" w:color="auto"/>
        <w:bottom w:val="none" w:sz="0" w:space="0" w:color="auto"/>
        <w:right w:val="none" w:sz="0" w:space="0" w:color="auto"/>
      </w:divBdr>
    </w:div>
    <w:div w:id="1813982149">
      <w:bodyDiv w:val="1"/>
      <w:marLeft w:val="0"/>
      <w:marRight w:val="0"/>
      <w:marTop w:val="0"/>
      <w:marBottom w:val="0"/>
      <w:divBdr>
        <w:top w:val="none" w:sz="0" w:space="0" w:color="auto"/>
        <w:left w:val="none" w:sz="0" w:space="0" w:color="auto"/>
        <w:bottom w:val="none" w:sz="0" w:space="0" w:color="auto"/>
        <w:right w:val="none" w:sz="0" w:space="0" w:color="auto"/>
      </w:divBdr>
    </w:div>
    <w:div w:id="2058552496">
      <w:bodyDiv w:val="1"/>
      <w:marLeft w:val="0"/>
      <w:marRight w:val="0"/>
      <w:marTop w:val="0"/>
      <w:marBottom w:val="0"/>
      <w:divBdr>
        <w:top w:val="none" w:sz="0" w:space="0" w:color="auto"/>
        <w:left w:val="none" w:sz="0" w:space="0" w:color="auto"/>
        <w:bottom w:val="none" w:sz="0" w:space="0" w:color="auto"/>
        <w:right w:val="none" w:sz="0" w:space="0" w:color="auto"/>
      </w:divBdr>
    </w:div>
    <w:div w:id="213963990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FE6E84-6ABB-409D-A339-FC0DF3614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755</Words>
  <Characters>4304</Characters>
  <Application>Microsoft Office Word</Application>
  <DocSecurity>0</DocSecurity>
  <Lines>35</Lines>
  <Paragraphs>10</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5049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5</cp:revision>
  <cp:lastPrinted>2025-07-23T08:05:00Z</cp:lastPrinted>
  <dcterms:created xsi:type="dcterms:W3CDTF">2025-07-21T08:00:00Z</dcterms:created>
  <dcterms:modified xsi:type="dcterms:W3CDTF">2025-07-28T07:05:00Z</dcterms:modified>
</cp:coreProperties>
</file>