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96A" w:rsidRPr="00441BAD" w:rsidRDefault="00E07D07" w:rsidP="00441BAD">
      <w:pPr>
        <w:rPr>
          <w:b/>
          <w:sz w:val="24"/>
          <w:szCs w:val="24"/>
        </w:rPr>
      </w:pPr>
      <w:r w:rsidRPr="00441BAD">
        <w:rPr>
          <w:b/>
          <w:sz w:val="24"/>
          <w:szCs w:val="24"/>
        </w:rPr>
        <w:t>High-efficiency submersible motor pumps meet ATEX standards</w:t>
      </w:r>
    </w:p>
    <w:p w:rsidR="00DD396A" w:rsidRPr="000A5523" w:rsidRDefault="00DD396A" w:rsidP="00731448">
      <w:pPr>
        <w:jc w:val="both"/>
        <w:rPr>
          <w:sz w:val="24"/>
          <w:szCs w:val="24"/>
        </w:rPr>
      </w:pPr>
    </w:p>
    <w:p w:rsidR="000A5523" w:rsidRDefault="00DD396A" w:rsidP="00731448">
      <w:pPr>
        <w:jc w:val="both"/>
        <w:rPr>
          <w:sz w:val="24"/>
          <w:szCs w:val="24"/>
        </w:rPr>
      </w:pPr>
      <w:r>
        <w:rPr>
          <w:sz w:val="24"/>
        </w:rPr>
        <w:t xml:space="preserve">From June 2025 the KSB Group’s new high-efficiency </w:t>
      </w:r>
      <w:r w:rsidR="00CE3876">
        <w:rPr>
          <w:sz w:val="24"/>
        </w:rPr>
        <w:t xml:space="preserve">AmaRex Pro </w:t>
      </w:r>
      <w:r>
        <w:rPr>
          <w:sz w:val="24"/>
        </w:rPr>
        <w:t>submersible motor pumps will also be available as an explosion-proof version. These pumps fulfil the stringent European Dire</w:t>
      </w:r>
      <w:r w:rsidR="00F377E9">
        <w:rPr>
          <w:sz w:val="24"/>
        </w:rPr>
        <w:t>ctives ATEX 2014/34/EU and ATEX </w:t>
      </w:r>
      <w:r w:rsidR="00441BAD">
        <w:rPr>
          <w:sz w:val="24"/>
        </w:rPr>
        <w:t>19</w:t>
      </w:r>
      <w:r>
        <w:rPr>
          <w:sz w:val="24"/>
        </w:rPr>
        <w:t>99/92/EC. They are suitable for being operated i</w:t>
      </w:r>
      <w:r w:rsidR="00D869EF">
        <w:rPr>
          <w:sz w:val="24"/>
        </w:rPr>
        <w:t>n hazardous zones classified as Zone 1</w:t>
      </w:r>
      <w:bookmarkStart w:id="0" w:name="_GoBack"/>
      <w:bookmarkEnd w:id="0"/>
      <w:r>
        <w:rPr>
          <w:sz w:val="24"/>
        </w:rPr>
        <w:t>.</w:t>
      </w:r>
    </w:p>
    <w:p w:rsidR="000A5523" w:rsidRPr="000A5523" w:rsidRDefault="000A5523" w:rsidP="00731448">
      <w:pPr>
        <w:jc w:val="both"/>
        <w:rPr>
          <w:sz w:val="24"/>
          <w:szCs w:val="24"/>
        </w:rPr>
      </w:pPr>
    </w:p>
    <w:p w:rsidR="00A86FFD" w:rsidRPr="00C51B04" w:rsidRDefault="000A5523" w:rsidP="00731448">
      <w:pPr>
        <w:jc w:val="both"/>
        <w:rPr>
          <w:sz w:val="24"/>
          <w:szCs w:val="24"/>
        </w:rPr>
      </w:pPr>
      <w:r>
        <w:rPr>
          <w:sz w:val="24"/>
        </w:rPr>
        <w:t xml:space="preserve">To prevent ignition sources such as sparks or hot surfaces, the engineers designed AmaRex Pro in such a way that no flames or sparks can be caused outside the pump casing. In addition, the pump set is protected against the generation of internal sparks. </w:t>
      </w:r>
    </w:p>
    <w:p w:rsidR="00A86FFD" w:rsidRPr="00C51B04" w:rsidRDefault="00A86FFD" w:rsidP="00731448">
      <w:pPr>
        <w:jc w:val="both"/>
        <w:rPr>
          <w:sz w:val="24"/>
          <w:szCs w:val="24"/>
        </w:rPr>
      </w:pPr>
    </w:p>
    <w:p w:rsidR="000A5523" w:rsidRPr="00C51B04" w:rsidRDefault="00C51B04" w:rsidP="00731448">
      <w:pPr>
        <w:jc w:val="both"/>
        <w:rPr>
          <w:sz w:val="24"/>
          <w:szCs w:val="24"/>
        </w:rPr>
      </w:pPr>
      <w:r>
        <w:rPr>
          <w:sz w:val="24"/>
        </w:rPr>
        <w:t>The areas of the high-efficiency IE5 motors and the electronic control units are fitted with overheating protection equipment. Excessive heating will trigger an alarm and interrupt the power supply to the pump set.</w:t>
      </w:r>
    </w:p>
    <w:p w:rsidR="000A5523" w:rsidRPr="00C51B04" w:rsidRDefault="000A5523" w:rsidP="00731448">
      <w:pPr>
        <w:jc w:val="both"/>
        <w:rPr>
          <w:sz w:val="24"/>
          <w:szCs w:val="24"/>
        </w:rPr>
      </w:pPr>
    </w:p>
    <w:p w:rsidR="00A86FFD" w:rsidRDefault="00A86FFD" w:rsidP="00731448">
      <w:pPr>
        <w:jc w:val="both"/>
        <w:rPr>
          <w:sz w:val="24"/>
          <w:szCs w:val="24"/>
        </w:rPr>
      </w:pPr>
      <w:r>
        <w:rPr>
          <w:sz w:val="24"/>
        </w:rPr>
        <w:t>The manufacturing process of the hydraulically highly efficient pumps is checked several times a year by an ATEX inspector. This is how the manufacturer ensures that the pumps are of a high quality and produced in compliance with the ATEX requirements.</w:t>
      </w:r>
    </w:p>
    <w:p w:rsidR="004860FE" w:rsidRPr="004860FE" w:rsidRDefault="004860FE" w:rsidP="004860FE">
      <w:pPr>
        <w:jc w:val="both"/>
        <w:rPr>
          <w:sz w:val="24"/>
          <w:szCs w:val="24"/>
        </w:rPr>
      </w:pPr>
    </w:p>
    <w:p w:rsidR="00A86FFD" w:rsidRDefault="004860FE" w:rsidP="004860FE">
      <w:pPr>
        <w:jc w:val="both"/>
        <w:rPr>
          <w:sz w:val="24"/>
          <w:szCs w:val="24"/>
        </w:rPr>
      </w:pPr>
      <w:r>
        <w:rPr>
          <w:sz w:val="24"/>
        </w:rPr>
        <w:t>Given the possibility that hydrogen sulphide H</w:t>
      </w:r>
      <w:r w:rsidRPr="00F53D99">
        <w:rPr>
          <w:sz w:val="24"/>
          <w:vertAlign w:val="subscript"/>
        </w:rPr>
        <w:t>2</w:t>
      </w:r>
      <w:r>
        <w:rPr>
          <w:sz w:val="24"/>
        </w:rPr>
        <w:t>S and methane, both of which are highly flammable gases, may form in waste water, Germany and some other countries classify waste water pump</w:t>
      </w:r>
      <w:r w:rsidR="00F53D99">
        <w:rPr>
          <w:sz w:val="24"/>
        </w:rPr>
        <w:t>ing</w:t>
      </w:r>
      <w:r>
        <w:rPr>
          <w:sz w:val="24"/>
        </w:rPr>
        <w:t xml:space="preserve"> stations as a potentially explosive atmosphere. These gases may collect in the waste water pipes and collecting tanks. Contact of these gases with a source of ignition may result in an explosion.</w:t>
      </w:r>
    </w:p>
    <w:p w:rsidR="004860FE" w:rsidRDefault="004860FE" w:rsidP="004860FE">
      <w:pPr>
        <w:jc w:val="both"/>
        <w:rPr>
          <w:sz w:val="24"/>
          <w:szCs w:val="24"/>
        </w:rPr>
      </w:pPr>
    </w:p>
    <w:p w:rsidR="00CA4989" w:rsidRPr="005850FF" w:rsidRDefault="00CA4989" w:rsidP="004860FE">
      <w:pPr>
        <w:jc w:val="both"/>
        <w:rPr>
          <w:color w:val="00B0F0"/>
          <w:sz w:val="24"/>
          <w:szCs w:val="24"/>
        </w:rPr>
      </w:pPr>
      <w:r w:rsidRPr="00CA4989">
        <w:rPr>
          <w:color w:val="00B0F0"/>
          <w:sz w:val="24"/>
          <w:szCs w:val="24"/>
        </w:rPr>
        <w:t>https://www.ksb.com/en-global/media/press-releases/uebersicht/new-intelligent-submersible-motor-pumps-for-waste-water-2023942</w:t>
      </w:r>
    </w:p>
    <w:p w:rsidR="005850FF" w:rsidRDefault="005850FF" w:rsidP="004860FE">
      <w:pPr>
        <w:jc w:val="both"/>
        <w:rPr>
          <w:sz w:val="24"/>
          <w:szCs w:val="24"/>
        </w:rPr>
      </w:pPr>
    </w:p>
    <w:p w:rsidR="00731448" w:rsidRDefault="00731448" w:rsidP="00731448">
      <w:pPr>
        <w:jc w:val="both"/>
        <w:rPr>
          <w:sz w:val="24"/>
          <w:szCs w:val="24"/>
        </w:rPr>
      </w:pPr>
      <w:r>
        <w:rPr>
          <w:sz w:val="24"/>
        </w:rPr>
        <w:t>Illustration: The new intelligent AmaRex Pro waste water pumps, meeting the str</w:t>
      </w:r>
      <w:r w:rsidR="00F377E9">
        <w:rPr>
          <w:sz w:val="24"/>
        </w:rPr>
        <w:t>ingent European Directives ATEX 2014/34/EU and ATEX </w:t>
      </w:r>
      <w:r>
        <w:rPr>
          <w:sz w:val="24"/>
        </w:rPr>
        <w:t xml:space="preserve">99/92/EC, will be available from June 2025. © KSB SE &amp; Co. KGaA </w:t>
      </w:r>
    </w:p>
    <w:sectPr w:rsidR="00731448" w:rsidSect="00441BAD">
      <w:headerReference w:type="even" r:id="rId10"/>
      <w:headerReference w:type="default" r:id="rId11"/>
      <w:footerReference w:type="default" r:id="rId12"/>
      <w:headerReference w:type="first" r:id="rId13"/>
      <w:pgSz w:w="11906" w:h="16838" w:code="9"/>
      <w:pgMar w:top="1701" w:right="2125" w:bottom="2268" w:left="2410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767" w:rsidRDefault="00B60767">
      <w:r>
        <w:separator/>
      </w:r>
    </w:p>
  </w:endnote>
  <w:endnote w:type="continuationSeparator" w:id="0">
    <w:p w:rsidR="00B60767" w:rsidRDefault="00B6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  <w:lang w:val="de-DE"/>
            </w:rPr>
            <w:drawing>
              <wp:inline distT="0" distB="0" distL="0" distR="0">
                <wp:extent cx="6322695" cy="855980"/>
                <wp:effectExtent l="0" t="0" r="1905" b="1270"/>
                <wp:docPr id="8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767" w:rsidRDefault="00B60767">
      <w:r>
        <w:separator/>
      </w:r>
    </w:p>
  </w:footnote>
  <w:footnote w:type="continuationSeparator" w:id="0">
    <w:p w:rsidR="00B60767" w:rsidRDefault="00B607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>
      <w:t>2</w:t>
    </w:r>
    <w:r w:rsidR="00170D6E"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  <w:lang w:val="de-DE"/>
      </w:rPr>
      <w:drawing>
        <wp:inline distT="0" distB="0" distL="0" distR="0">
          <wp:extent cx="1190625" cy="513715"/>
          <wp:effectExtent l="0" t="0" r="9525" b="635"/>
          <wp:docPr id="7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767"/>
    <w:rsid w:val="00010238"/>
    <w:rsid w:val="0002644F"/>
    <w:rsid w:val="00092033"/>
    <w:rsid w:val="000A5523"/>
    <w:rsid w:val="00111FC3"/>
    <w:rsid w:val="00170D6E"/>
    <w:rsid w:val="003E351A"/>
    <w:rsid w:val="00441BAD"/>
    <w:rsid w:val="004860FE"/>
    <w:rsid w:val="004A6F3C"/>
    <w:rsid w:val="00514B86"/>
    <w:rsid w:val="00563D15"/>
    <w:rsid w:val="005850FF"/>
    <w:rsid w:val="006E4D39"/>
    <w:rsid w:val="00731448"/>
    <w:rsid w:val="00790555"/>
    <w:rsid w:val="007949A8"/>
    <w:rsid w:val="007B1785"/>
    <w:rsid w:val="0086737F"/>
    <w:rsid w:val="00901B8A"/>
    <w:rsid w:val="0095666E"/>
    <w:rsid w:val="009B036D"/>
    <w:rsid w:val="00A4139C"/>
    <w:rsid w:val="00A86FFD"/>
    <w:rsid w:val="00AD48A9"/>
    <w:rsid w:val="00B60767"/>
    <w:rsid w:val="00C51B04"/>
    <w:rsid w:val="00CA4989"/>
    <w:rsid w:val="00CE3876"/>
    <w:rsid w:val="00D869EF"/>
    <w:rsid w:val="00DD396A"/>
    <w:rsid w:val="00E07D07"/>
    <w:rsid w:val="00E35697"/>
    <w:rsid w:val="00F377E9"/>
    <w:rsid w:val="00F53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,"/>
  <w:listSeparator w:val=";"/>
  <w14:docId w14:val="5D662579"/>
  <w15:chartTrackingRefBased/>
  <w15:docId w15:val="{20A72840-9184-4DBA-88C5-52B1598B6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Fett">
    <w:name w:val="Strong"/>
    <w:basedOn w:val="Absatz-Standardschriftart"/>
    <w:uiPriority w:val="22"/>
    <w:qFormat/>
    <w:rsid w:val="00E07D07"/>
    <w:rPr>
      <w:b/>
      <w:bCs/>
    </w:rPr>
  </w:style>
  <w:style w:type="character" w:styleId="Hyperlink">
    <w:name w:val="Hyperlink"/>
    <w:basedOn w:val="Absatz-Standardschriftart"/>
    <w:unhideWhenUsed/>
    <w:rsid w:val="00CA498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Cher" typeface="Plantagenet Cherokee"/>
        <a:font script="Yiii" typeface="Microsoft Yi Baiti"/>
        <a:font script="Thaa" typeface="MV Boli"/>
        <a:font script="Syrc" typeface="Estrangelo Edess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732F02-4654-44E3-BB4B-84CA14778EF2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5648CE00-D0D1-422C-B524-98439ABB06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87CE8FB-0FBD-4603-9275-6F4C7F4A28CB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924D46B-7E1E-4024-BC0F-137B7764EB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2</cp:revision>
  <cp:lastPrinted>2006-04-21T08:51:00Z</cp:lastPrinted>
  <dcterms:created xsi:type="dcterms:W3CDTF">2025-07-09T09:04:00Z</dcterms:created>
  <dcterms:modified xsi:type="dcterms:W3CDTF">2025-07-09T09:04:00Z</dcterms:modified>
</cp:coreProperties>
</file>