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D396A" w:rsidRPr="001B6A36" w:rsidRDefault="00E07D07" w:rsidP="001B6A36">
      <w:pPr>
        <w:rPr>
          <w:b/>
          <w:sz w:val="24"/>
          <w:szCs w:val="24"/>
        </w:rPr>
      </w:pPr>
      <w:r w:rsidRPr="001B6A36">
        <w:rPr>
          <w:rStyle w:val="Fett"/>
          <w:color w:val="424242"/>
          <w:sz w:val="24"/>
          <w:szCs w:val="24"/>
          <w:shd w:val="clear" w:color="auto" w:fill="FAFAFA"/>
        </w:rPr>
        <w:t xml:space="preserve">Hocheffiziente </w:t>
      </w:r>
      <w:r w:rsidRPr="001B6A36">
        <w:rPr>
          <w:b/>
          <w:sz w:val="24"/>
          <w:szCs w:val="24"/>
        </w:rPr>
        <w:t>Tauchmotorpumpen</w:t>
      </w:r>
      <w:r w:rsidRPr="001B6A36">
        <w:rPr>
          <w:rStyle w:val="Fett"/>
          <w:color w:val="424242"/>
          <w:sz w:val="24"/>
          <w:szCs w:val="24"/>
          <w:shd w:val="clear" w:color="auto" w:fill="FAFAFA"/>
        </w:rPr>
        <w:t xml:space="preserve"> erfüllen ATEX-Standards</w:t>
      </w:r>
    </w:p>
    <w:p w:rsidR="00DD396A" w:rsidRPr="000A5523" w:rsidRDefault="00DD396A" w:rsidP="00731448">
      <w:pPr>
        <w:jc w:val="both"/>
        <w:rPr>
          <w:sz w:val="24"/>
          <w:szCs w:val="24"/>
        </w:rPr>
      </w:pPr>
    </w:p>
    <w:p w:rsidR="000A5523" w:rsidRDefault="00DD396A" w:rsidP="00731448">
      <w:pPr>
        <w:jc w:val="both"/>
        <w:rPr>
          <w:sz w:val="24"/>
          <w:szCs w:val="24"/>
        </w:rPr>
      </w:pPr>
      <w:r w:rsidRPr="000A5523">
        <w:rPr>
          <w:sz w:val="24"/>
          <w:szCs w:val="24"/>
        </w:rPr>
        <w:t>Ab Juni 2025 sind die neue</w:t>
      </w:r>
      <w:r w:rsidR="004860FE">
        <w:rPr>
          <w:sz w:val="24"/>
          <w:szCs w:val="24"/>
        </w:rPr>
        <w:t>n</w:t>
      </w:r>
      <w:r w:rsidRPr="000A5523">
        <w:rPr>
          <w:sz w:val="24"/>
          <w:szCs w:val="24"/>
        </w:rPr>
        <w:t xml:space="preserve"> </w:t>
      </w:r>
      <w:r w:rsidR="00E07D07">
        <w:rPr>
          <w:sz w:val="24"/>
          <w:szCs w:val="24"/>
        </w:rPr>
        <w:t xml:space="preserve">hocheffizienten </w:t>
      </w:r>
      <w:r w:rsidRPr="000A5523">
        <w:rPr>
          <w:sz w:val="24"/>
          <w:szCs w:val="24"/>
        </w:rPr>
        <w:t>Tauchmotor</w:t>
      </w:r>
      <w:r w:rsidR="00E07D07">
        <w:rPr>
          <w:sz w:val="24"/>
          <w:szCs w:val="24"/>
        </w:rPr>
        <w:softHyphen/>
      </w:r>
      <w:r w:rsidRPr="000A5523">
        <w:rPr>
          <w:sz w:val="24"/>
          <w:szCs w:val="24"/>
        </w:rPr>
        <w:t>pumpen der Baureihe AmaRex Pro der KSB-Gruppe auch in einer explosionsgeschütz</w:t>
      </w:r>
      <w:r w:rsidR="004860FE">
        <w:rPr>
          <w:sz w:val="24"/>
          <w:szCs w:val="24"/>
        </w:rPr>
        <w:t>t</w:t>
      </w:r>
      <w:r w:rsidRPr="000A5523">
        <w:rPr>
          <w:sz w:val="24"/>
          <w:szCs w:val="24"/>
        </w:rPr>
        <w:t>en Variante lieferbar.</w:t>
      </w:r>
      <w:r w:rsidR="00AD48A9">
        <w:rPr>
          <w:sz w:val="24"/>
          <w:szCs w:val="24"/>
        </w:rPr>
        <w:t xml:space="preserve"> </w:t>
      </w:r>
      <w:r w:rsidR="000A5523" w:rsidRPr="000A5523">
        <w:rPr>
          <w:sz w:val="24"/>
          <w:szCs w:val="24"/>
        </w:rPr>
        <w:t>D</w:t>
      </w:r>
      <w:r w:rsidR="00E07D07">
        <w:rPr>
          <w:sz w:val="24"/>
          <w:szCs w:val="24"/>
        </w:rPr>
        <w:t>amit</w:t>
      </w:r>
      <w:r w:rsidR="000A5523" w:rsidRPr="000A5523">
        <w:rPr>
          <w:sz w:val="24"/>
          <w:szCs w:val="24"/>
        </w:rPr>
        <w:t xml:space="preserve"> </w:t>
      </w:r>
      <w:r w:rsidR="00E07D07" w:rsidRPr="000A5523">
        <w:rPr>
          <w:sz w:val="24"/>
          <w:szCs w:val="24"/>
        </w:rPr>
        <w:t xml:space="preserve">erfüllen </w:t>
      </w:r>
      <w:r w:rsidR="00E07D07">
        <w:rPr>
          <w:sz w:val="24"/>
          <w:szCs w:val="24"/>
        </w:rPr>
        <w:t xml:space="preserve">die </w:t>
      </w:r>
      <w:r w:rsidR="000A5523" w:rsidRPr="000A5523">
        <w:rPr>
          <w:sz w:val="24"/>
          <w:szCs w:val="24"/>
        </w:rPr>
        <w:t>Pumpen die s</w:t>
      </w:r>
      <w:r w:rsidRPr="000A5523">
        <w:rPr>
          <w:sz w:val="24"/>
          <w:szCs w:val="24"/>
        </w:rPr>
        <w:t>trenge</w:t>
      </w:r>
      <w:r w:rsidR="004860FE">
        <w:rPr>
          <w:sz w:val="24"/>
          <w:szCs w:val="24"/>
        </w:rPr>
        <w:t>n</w:t>
      </w:r>
      <w:r w:rsidRPr="000A5523">
        <w:rPr>
          <w:sz w:val="24"/>
          <w:szCs w:val="24"/>
        </w:rPr>
        <w:t xml:space="preserve"> europäische</w:t>
      </w:r>
      <w:r w:rsidR="004860FE">
        <w:rPr>
          <w:sz w:val="24"/>
          <w:szCs w:val="24"/>
        </w:rPr>
        <w:t>n</w:t>
      </w:r>
      <w:r w:rsidR="003E351A">
        <w:rPr>
          <w:sz w:val="24"/>
          <w:szCs w:val="24"/>
        </w:rPr>
        <w:t xml:space="preserve"> Richtlinien </w:t>
      </w:r>
      <w:r w:rsidRPr="000A5523">
        <w:rPr>
          <w:sz w:val="24"/>
          <w:szCs w:val="24"/>
        </w:rPr>
        <w:t>AT</w:t>
      </w:r>
      <w:r w:rsidR="003E351A">
        <w:rPr>
          <w:sz w:val="24"/>
          <w:szCs w:val="24"/>
        </w:rPr>
        <w:t xml:space="preserve">EX 2014/34/EU und ATEX </w:t>
      </w:r>
      <w:r w:rsidR="001B6A36">
        <w:rPr>
          <w:sz w:val="24"/>
          <w:szCs w:val="24"/>
        </w:rPr>
        <w:t>19</w:t>
      </w:r>
      <w:r w:rsidR="003E351A">
        <w:rPr>
          <w:sz w:val="24"/>
          <w:szCs w:val="24"/>
        </w:rPr>
        <w:t>99/92/EG</w:t>
      </w:r>
      <w:r w:rsidR="000A5523">
        <w:rPr>
          <w:sz w:val="24"/>
          <w:szCs w:val="24"/>
        </w:rPr>
        <w:t xml:space="preserve"> und sind </w:t>
      </w:r>
      <w:r w:rsidR="000A5523" w:rsidRPr="000A5523">
        <w:rPr>
          <w:sz w:val="24"/>
          <w:szCs w:val="24"/>
        </w:rPr>
        <w:t xml:space="preserve">für den Betrieb in </w:t>
      </w:r>
      <w:r w:rsidR="000A5523">
        <w:rPr>
          <w:sz w:val="24"/>
          <w:szCs w:val="24"/>
        </w:rPr>
        <w:t>den</w:t>
      </w:r>
      <w:r w:rsidR="000A5523" w:rsidRPr="000A5523">
        <w:rPr>
          <w:sz w:val="24"/>
          <w:szCs w:val="24"/>
        </w:rPr>
        <w:t xml:space="preserve"> Gefahrenbereichen der Klasse</w:t>
      </w:r>
      <w:r w:rsidR="00C40FEE">
        <w:rPr>
          <w:sz w:val="24"/>
          <w:szCs w:val="24"/>
        </w:rPr>
        <w:t xml:space="preserve"> </w:t>
      </w:r>
      <w:bookmarkStart w:id="0" w:name="_GoBack"/>
      <w:bookmarkEnd w:id="0"/>
      <w:r w:rsidR="00C40FEE">
        <w:rPr>
          <w:sz w:val="24"/>
          <w:szCs w:val="24"/>
        </w:rPr>
        <w:t>1</w:t>
      </w:r>
      <w:r w:rsidR="000A5523">
        <w:rPr>
          <w:sz w:val="24"/>
          <w:szCs w:val="24"/>
        </w:rPr>
        <w:t xml:space="preserve"> geeignet.</w:t>
      </w:r>
    </w:p>
    <w:p w:rsidR="000A5523" w:rsidRPr="000A5523" w:rsidRDefault="000A5523" w:rsidP="00731448">
      <w:pPr>
        <w:jc w:val="both"/>
        <w:rPr>
          <w:sz w:val="24"/>
          <w:szCs w:val="24"/>
        </w:rPr>
      </w:pPr>
    </w:p>
    <w:p w:rsidR="00A86FFD" w:rsidRPr="00C51B04" w:rsidRDefault="000A5523" w:rsidP="00731448">
      <w:pPr>
        <w:jc w:val="both"/>
        <w:rPr>
          <w:sz w:val="24"/>
          <w:szCs w:val="24"/>
        </w:rPr>
      </w:pPr>
      <w:r w:rsidRPr="00C51B04">
        <w:rPr>
          <w:sz w:val="24"/>
          <w:szCs w:val="24"/>
        </w:rPr>
        <w:t>U</w:t>
      </w:r>
      <w:r w:rsidR="00DD396A" w:rsidRPr="00C51B04">
        <w:rPr>
          <w:sz w:val="24"/>
          <w:szCs w:val="24"/>
        </w:rPr>
        <w:t>m Zündquellen wie Funken oder heiße Oberflächen zu vermeiden</w:t>
      </w:r>
      <w:r w:rsidR="004860FE">
        <w:rPr>
          <w:sz w:val="24"/>
          <w:szCs w:val="24"/>
        </w:rPr>
        <w:t>,</w:t>
      </w:r>
      <w:r w:rsidRPr="00C51B04">
        <w:rPr>
          <w:sz w:val="24"/>
          <w:szCs w:val="24"/>
        </w:rPr>
        <w:t xml:space="preserve"> </w:t>
      </w:r>
      <w:r w:rsidR="00111FC3">
        <w:rPr>
          <w:sz w:val="24"/>
          <w:szCs w:val="24"/>
        </w:rPr>
        <w:t xml:space="preserve">haben die Konstrukteure </w:t>
      </w:r>
      <w:r w:rsidRPr="00C51B04">
        <w:rPr>
          <w:sz w:val="24"/>
          <w:szCs w:val="24"/>
        </w:rPr>
        <w:t xml:space="preserve">die </w:t>
      </w:r>
      <w:r w:rsidR="00C51B04" w:rsidRPr="00C51B04">
        <w:rPr>
          <w:sz w:val="24"/>
          <w:szCs w:val="24"/>
        </w:rPr>
        <w:t>AmaRex</w:t>
      </w:r>
      <w:r w:rsidR="003E351A">
        <w:rPr>
          <w:sz w:val="24"/>
          <w:szCs w:val="24"/>
        </w:rPr>
        <w:t> </w:t>
      </w:r>
      <w:r w:rsidR="00C51B04" w:rsidRPr="00C51B04">
        <w:rPr>
          <w:sz w:val="24"/>
          <w:szCs w:val="24"/>
        </w:rPr>
        <w:t>Pro</w:t>
      </w:r>
      <w:r w:rsidRPr="00C51B04">
        <w:rPr>
          <w:sz w:val="24"/>
          <w:szCs w:val="24"/>
        </w:rPr>
        <w:t xml:space="preserve"> so ausgelegt, dass keine Flammen oder Funken außerhalb des P</w:t>
      </w:r>
      <w:r w:rsidR="00E07D07">
        <w:rPr>
          <w:sz w:val="24"/>
          <w:szCs w:val="24"/>
        </w:rPr>
        <w:t>umpengehäuses entstehen können.</w:t>
      </w:r>
      <w:r w:rsidR="00AD48A9">
        <w:rPr>
          <w:sz w:val="24"/>
          <w:szCs w:val="24"/>
        </w:rPr>
        <w:t xml:space="preserve"> </w:t>
      </w:r>
      <w:r w:rsidRPr="00C51B04">
        <w:rPr>
          <w:sz w:val="24"/>
          <w:szCs w:val="24"/>
        </w:rPr>
        <w:t>Darüber hinaus ist das Aggregat auch gegen mögliche interne</w:t>
      </w:r>
      <w:r w:rsidR="00A86FFD" w:rsidRPr="00C51B04">
        <w:rPr>
          <w:sz w:val="24"/>
          <w:szCs w:val="24"/>
        </w:rPr>
        <w:t xml:space="preserve"> Funkenbildung</w:t>
      </w:r>
      <w:r w:rsidRPr="00C51B04">
        <w:rPr>
          <w:sz w:val="24"/>
          <w:szCs w:val="24"/>
        </w:rPr>
        <w:t xml:space="preserve"> geschützt. </w:t>
      </w:r>
    </w:p>
    <w:p w:rsidR="00A86FFD" w:rsidRPr="00C51B04" w:rsidRDefault="00A86FFD" w:rsidP="00731448">
      <w:pPr>
        <w:jc w:val="both"/>
        <w:rPr>
          <w:sz w:val="24"/>
          <w:szCs w:val="24"/>
        </w:rPr>
      </w:pPr>
    </w:p>
    <w:p w:rsidR="000A5523" w:rsidRPr="00C51B04" w:rsidRDefault="00C51B04" w:rsidP="00731448">
      <w:pPr>
        <w:jc w:val="both"/>
        <w:rPr>
          <w:sz w:val="24"/>
          <w:szCs w:val="24"/>
        </w:rPr>
      </w:pPr>
      <w:r w:rsidRPr="00C51B04">
        <w:rPr>
          <w:sz w:val="24"/>
          <w:szCs w:val="24"/>
        </w:rPr>
        <w:t>Die B</w:t>
      </w:r>
      <w:r w:rsidR="000A5523" w:rsidRPr="00C51B04">
        <w:rPr>
          <w:sz w:val="24"/>
          <w:szCs w:val="24"/>
        </w:rPr>
        <w:t>ereich</w:t>
      </w:r>
      <w:r w:rsidRPr="00C51B04">
        <w:rPr>
          <w:sz w:val="24"/>
          <w:szCs w:val="24"/>
        </w:rPr>
        <w:t>e</w:t>
      </w:r>
      <w:r w:rsidR="000A5523" w:rsidRPr="00C51B04">
        <w:rPr>
          <w:sz w:val="24"/>
          <w:szCs w:val="24"/>
        </w:rPr>
        <w:t xml:space="preserve"> </w:t>
      </w:r>
      <w:r w:rsidRPr="00C51B04">
        <w:rPr>
          <w:sz w:val="24"/>
          <w:szCs w:val="24"/>
        </w:rPr>
        <w:t xml:space="preserve">der </w:t>
      </w:r>
      <w:r w:rsidR="007B1785" w:rsidRPr="00C51B04">
        <w:rPr>
          <w:sz w:val="24"/>
          <w:szCs w:val="24"/>
        </w:rPr>
        <w:t xml:space="preserve">hocheffizienten </w:t>
      </w:r>
      <w:r w:rsidRPr="00C51B04">
        <w:rPr>
          <w:sz w:val="24"/>
          <w:szCs w:val="24"/>
        </w:rPr>
        <w:t>IE5-</w:t>
      </w:r>
      <w:r w:rsidR="007B1785" w:rsidRPr="00C51B04">
        <w:rPr>
          <w:sz w:val="24"/>
          <w:szCs w:val="24"/>
        </w:rPr>
        <w:t xml:space="preserve">Motoren </w:t>
      </w:r>
      <w:r w:rsidR="000A5523" w:rsidRPr="00C51B04">
        <w:rPr>
          <w:sz w:val="24"/>
          <w:szCs w:val="24"/>
        </w:rPr>
        <w:t xml:space="preserve">und </w:t>
      </w:r>
      <w:r w:rsidRPr="00C51B04">
        <w:rPr>
          <w:sz w:val="24"/>
          <w:szCs w:val="24"/>
        </w:rPr>
        <w:t xml:space="preserve">der elektronischen Steuerung sind mit </w:t>
      </w:r>
      <w:r w:rsidR="000A5523" w:rsidRPr="00C51B04">
        <w:rPr>
          <w:sz w:val="24"/>
          <w:szCs w:val="24"/>
        </w:rPr>
        <w:t>einem Überhitzungsschutz ausgestattet</w:t>
      </w:r>
      <w:r w:rsidRPr="00C51B04">
        <w:rPr>
          <w:sz w:val="24"/>
          <w:szCs w:val="24"/>
        </w:rPr>
        <w:t>.</w:t>
      </w:r>
      <w:r w:rsidR="00AD48A9">
        <w:rPr>
          <w:sz w:val="24"/>
          <w:szCs w:val="24"/>
        </w:rPr>
        <w:t xml:space="preserve"> </w:t>
      </w:r>
      <w:r w:rsidRPr="00C51B04">
        <w:rPr>
          <w:sz w:val="24"/>
          <w:szCs w:val="24"/>
        </w:rPr>
        <w:t>Dieser kann im Falle einer zu starken Erwärmung einen Alarm auslösen und die Maschine vom Stromnetz nehmen</w:t>
      </w:r>
      <w:r w:rsidR="000A5523" w:rsidRPr="00C51B04">
        <w:rPr>
          <w:sz w:val="24"/>
          <w:szCs w:val="24"/>
        </w:rPr>
        <w:t>.</w:t>
      </w:r>
    </w:p>
    <w:p w:rsidR="000A5523" w:rsidRPr="00C51B04" w:rsidRDefault="000A5523" w:rsidP="00731448">
      <w:pPr>
        <w:jc w:val="both"/>
        <w:rPr>
          <w:sz w:val="24"/>
          <w:szCs w:val="24"/>
        </w:rPr>
      </w:pPr>
    </w:p>
    <w:p w:rsidR="00A86FFD" w:rsidRDefault="00A86FFD" w:rsidP="00731448">
      <w:pPr>
        <w:jc w:val="both"/>
        <w:rPr>
          <w:sz w:val="24"/>
          <w:szCs w:val="24"/>
        </w:rPr>
      </w:pPr>
      <w:r w:rsidRPr="00A86FFD">
        <w:rPr>
          <w:sz w:val="24"/>
          <w:szCs w:val="24"/>
        </w:rPr>
        <w:t xml:space="preserve">Der Fertigungsprozess </w:t>
      </w:r>
      <w:r w:rsidR="00C51B04">
        <w:rPr>
          <w:sz w:val="24"/>
          <w:szCs w:val="24"/>
        </w:rPr>
        <w:t>der hydraulisch</w:t>
      </w:r>
      <w:r w:rsidR="00C51B04" w:rsidRPr="00C51B04">
        <w:rPr>
          <w:sz w:val="24"/>
          <w:szCs w:val="24"/>
        </w:rPr>
        <w:t xml:space="preserve"> </w:t>
      </w:r>
      <w:r w:rsidR="00731448">
        <w:rPr>
          <w:sz w:val="24"/>
          <w:szCs w:val="24"/>
        </w:rPr>
        <w:t>h</w:t>
      </w:r>
      <w:r w:rsidR="00C51B04">
        <w:rPr>
          <w:sz w:val="24"/>
          <w:szCs w:val="24"/>
        </w:rPr>
        <w:t xml:space="preserve">ocheffizienten </w:t>
      </w:r>
      <w:r w:rsidR="00731448">
        <w:rPr>
          <w:sz w:val="24"/>
          <w:szCs w:val="24"/>
        </w:rPr>
        <w:t xml:space="preserve">Pumpen </w:t>
      </w:r>
      <w:r w:rsidRPr="00A86FFD">
        <w:rPr>
          <w:sz w:val="24"/>
          <w:szCs w:val="24"/>
        </w:rPr>
        <w:t>wird mehrmals jährlich von einem ATEX-</w:t>
      </w:r>
      <w:r w:rsidR="00092033">
        <w:rPr>
          <w:sz w:val="24"/>
          <w:szCs w:val="24"/>
        </w:rPr>
        <w:t>Prüfer</w:t>
      </w:r>
      <w:r w:rsidRPr="00A86FFD">
        <w:rPr>
          <w:sz w:val="24"/>
          <w:szCs w:val="24"/>
        </w:rPr>
        <w:t xml:space="preserve"> </w:t>
      </w:r>
      <w:r w:rsidR="00092033" w:rsidRPr="00A86FFD">
        <w:rPr>
          <w:sz w:val="24"/>
          <w:szCs w:val="24"/>
        </w:rPr>
        <w:t>kontrolliert</w:t>
      </w:r>
      <w:r w:rsidR="00092033">
        <w:rPr>
          <w:sz w:val="24"/>
          <w:szCs w:val="24"/>
        </w:rPr>
        <w:t>.</w:t>
      </w:r>
      <w:r w:rsidR="00AD48A9">
        <w:rPr>
          <w:sz w:val="24"/>
          <w:szCs w:val="24"/>
        </w:rPr>
        <w:t xml:space="preserve"> </w:t>
      </w:r>
      <w:r w:rsidRPr="00A86FFD">
        <w:rPr>
          <w:sz w:val="24"/>
          <w:szCs w:val="24"/>
        </w:rPr>
        <w:t xml:space="preserve">Dadurch </w:t>
      </w:r>
      <w:r w:rsidR="007949A8">
        <w:rPr>
          <w:sz w:val="24"/>
          <w:szCs w:val="24"/>
        </w:rPr>
        <w:t xml:space="preserve">stellt der Hersteller </w:t>
      </w:r>
      <w:r w:rsidRPr="00A86FFD">
        <w:rPr>
          <w:sz w:val="24"/>
          <w:szCs w:val="24"/>
        </w:rPr>
        <w:t xml:space="preserve">sicher, dass </w:t>
      </w:r>
      <w:r w:rsidR="007949A8">
        <w:rPr>
          <w:sz w:val="24"/>
          <w:szCs w:val="24"/>
        </w:rPr>
        <w:t>seine</w:t>
      </w:r>
      <w:r w:rsidRPr="00A86FFD">
        <w:rPr>
          <w:sz w:val="24"/>
          <w:szCs w:val="24"/>
        </w:rPr>
        <w:t xml:space="preserve"> Pumpe</w:t>
      </w:r>
      <w:r w:rsidR="007949A8">
        <w:rPr>
          <w:sz w:val="24"/>
          <w:szCs w:val="24"/>
        </w:rPr>
        <w:t>n</w:t>
      </w:r>
      <w:r w:rsidRPr="00A86FFD">
        <w:rPr>
          <w:sz w:val="24"/>
          <w:szCs w:val="24"/>
        </w:rPr>
        <w:t xml:space="preserve"> in hoher Qualität und gemäß de</w:t>
      </w:r>
      <w:r w:rsidR="003E351A">
        <w:rPr>
          <w:sz w:val="24"/>
          <w:szCs w:val="24"/>
        </w:rPr>
        <w:t>n</w:t>
      </w:r>
      <w:r w:rsidR="007949A8">
        <w:rPr>
          <w:sz w:val="24"/>
          <w:szCs w:val="24"/>
        </w:rPr>
        <w:t xml:space="preserve"> ATEX-V</w:t>
      </w:r>
      <w:r w:rsidR="003E351A">
        <w:rPr>
          <w:sz w:val="24"/>
          <w:szCs w:val="24"/>
        </w:rPr>
        <w:t>orgaben</w:t>
      </w:r>
      <w:r w:rsidR="007949A8">
        <w:rPr>
          <w:sz w:val="24"/>
          <w:szCs w:val="24"/>
        </w:rPr>
        <w:t xml:space="preserve"> produziert we</w:t>
      </w:r>
      <w:r w:rsidRPr="00A86FFD">
        <w:rPr>
          <w:sz w:val="24"/>
          <w:szCs w:val="24"/>
        </w:rPr>
        <w:t>rd</w:t>
      </w:r>
      <w:r w:rsidR="007949A8">
        <w:rPr>
          <w:sz w:val="24"/>
          <w:szCs w:val="24"/>
        </w:rPr>
        <w:t>en</w:t>
      </w:r>
      <w:r w:rsidRPr="00A86FFD">
        <w:rPr>
          <w:sz w:val="24"/>
          <w:szCs w:val="24"/>
        </w:rPr>
        <w:t>.</w:t>
      </w:r>
    </w:p>
    <w:p w:rsidR="004860FE" w:rsidRPr="004860FE" w:rsidRDefault="004860FE" w:rsidP="004860FE">
      <w:pPr>
        <w:jc w:val="both"/>
        <w:rPr>
          <w:sz w:val="24"/>
          <w:szCs w:val="24"/>
        </w:rPr>
      </w:pPr>
    </w:p>
    <w:p w:rsidR="00A86FFD" w:rsidRDefault="004860FE" w:rsidP="004860FE">
      <w:pPr>
        <w:jc w:val="both"/>
        <w:rPr>
          <w:sz w:val="24"/>
          <w:szCs w:val="24"/>
        </w:rPr>
      </w:pPr>
      <w:r w:rsidRPr="004860FE">
        <w:rPr>
          <w:sz w:val="24"/>
          <w:szCs w:val="24"/>
        </w:rPr>
        <w:t>Aufgrund der möglichen Bildung von Schwefelwasserstoff H2S und Methan, beides hoch</w:t>
      </w:r>
      <w:r>
        <w:rPr>
          <w:sz w:val="24"/>
          <w:szCs w:val="24"/>
        </w:rPr>
        <w:t xml:space="preserve"> </w:t>
      </w:r>
      <w:r w:rsidRPr="004860FE">
        <w:rPr>
          <w:sz w:val="24"/>
          <w:szCs w:val="24"/>
        </w:rPr>
        <w:t xml:space="preserve">brennbare Gase, im Abwasser stufen einige Länder wie Deutschland Abwasserpumpstationen als explosionsgefährdete Gefahrenzone ein. Diese Gase können sich in den Abwasserleitungen und -behältern ansammeln. Wenn </w:t>
      </w:r>
      <w:r w:rsidR="003E351A">
        <w:rPr>
          <w:sz w:val="24"/>
          <w:szCs w:val="24"/>
        </w:rPr>
        <w:t>sie</w:t>
      </w:r>
      <w:r w:rsidRPr="004860FE">
        <w:rPr>
          <w:sz w:val="24"/>
          <w:szCs w:val="24"/>
        </w:rPr>
        <w:t xml:space="preserve"> mit einer Zündquelle in Kontakt kommen, kann es zu einer Explosion kommen.</w:t>
      </w:r>
    </w:p>
    <w:p w:rsidR="004860FE" w:rsidRDefault="004860FE" w:rsidP="004860FE">
      <w:pPr>
        <w:jc w:val="both"/>
        <w:rPr>
          <w:sz w:val="24"/>
          <w:szCs w:val="24"/>
        </w:rPr>
      </w:pPr>
    </w:p>
    <w:p w:rsidR="005850FF" w:rsidRPr="005850FF" w:rsidRDefault="005850FF" w:rsidP="004860FE">
      <w:pPr>
        <w:jc w:val="both"/>
        <w:rPr>
          <w:color w:val="00B0F0"/>
          <w:sz w:val="24"/>
          <w:szCs w:val="24"/>
        </w:rPr>
      </w:pPr>
      <w:r w:rsidRPr="005850FF">
        <w:rPr>
          <w:color w:val="00B0F0"/>
          <w:sz w:val="24"/>
          <w:szCs w:val="24"/>
        </w:rPr>
        <w:t>https://www.ksb.com/de-global/presse/mitteilungen/uebersicht/neue-intelligente-tauchmotorpumpen-fuer-abwasser-2023934</w:t>
      </w:r>
    </w:p>
    <w:p w:rsidR="005850FF" w:rsidRDefault="005850FF" w:rsidP="004860FE">
      <w:pPr>
        <w:jc w:val="both"/>
        <w:rPr>
          <w:sz w:val="24"/>
          <w:szCs w:val="24"/>
        </w:rPr>
      </w:pPr>
    </w:p>
    <w:p w:rsidR="00731448" w:rsidRDefault="00731448" w:rsidP="00731448">
      <w:pPr>
        <w:jc w:val="both"/>
        <w:rPr>
          <w:sz w:val="24"/>
          <w:szCs w:val="24"/>
        </w:rPr>
      </w:pPr>
      <w:r>
        <w:rPr>
          <w:sz w:val="24"/>
          <w:szCs w:val="24"/>
        </w:rPr>
        <w:t>Illustration: Die neuen intelligenten AmaRex Pro-Abwasser</w:t>
      </w:r>
      <w:r>
        <w:rPr>
          <w:sz w:val="24"/>
          <w:szCs w:val="24"/>
        </w:rPr>
        <w:softHyphen/>
        <w:t xml:space="preserve">pumpen </w:t>
      </w:r>
      <w:r w:rsidRPr="00731448">
        <w:rPr>
          <w:sz w:val="24"/>
          <w:szCs w:val="24"/>
        </w:rPr>
        <w:t xml:space="preserve">erfüllen </w:t>
      </w:r>
      <w:r>
        <w:rPr>
          <w:sz w:val="24"/>
          <w:szCs w:val="24"/>
        </w:rPr>
        <w:t xml:space="preserve">ab Juni 2025 </w:t>
      </w:r>
      <w:r w:rsidRPr="00731448">
        <w:rPr>
          <w:sz w:val="24"/>
          <w:szCs w:val="24"/>
        </w:rPr>
        <w:t>die strenge</w:t>
      </w:r>
      <w:r w:rsidR="004860FE">
        <w:rPr>
          <w:sz w:val="24"/>
          <w:szCs w:val="24"/>
        </w:rPr>
        <w:t>n</w:t>
      </w:r>
      <w:r w:rsidRPr="00731448">
        <w:rPr>
          <w:sz w:val="24"/>
          <w:szCs w:val="24"/>
        </w:rPr>
        <w:t xml:space="preserve"> europäische</w:t>
      </w:r>
      <w:r w:rsidR="004860FE">
        <w:rPr>
          <w:sz w:val="24"/>
          <w:szCs w:val="24"/>
        </w:rPr>
        <w:t>n</w:t>
      </w:r>
      <w:r w:rsidRPr="00731448">
        <w:rPr>
          <w:sz w:val="24"/>
          <w:szCs w:val="24"/>
        </w:rPr>
        <w:t xml:space="preserve"> Richtlinien ATEX 2014/34/EU und ATEX 99/92/EG</w:t>
      </w:r>
      <w:r>
        <w:rPr>
          <w:sz w:val="24"/>
          <w:szCs w:val="24"/>
        </w:rPr>
        <w:t xml:space="preserve">. © KSB SE &amp; Co. KGaA </w:t>
      </w:r>
    </w:p>
    <w:sectPr w:rsidR="00731448" w:rsidSect="001B6A36">
      <w:headerReference w:type="even" r:id="rId7"/>
      <w:headerReference w:type="default" r:id="rId8"/>
      <w:footerReference w:type="default" r:id="rId9"/>
      <w:headerReference w:type="first" r:id="rId10"/>
      <w:pgSz w:w="11906" w:h="16838" w:code="9"/>
      <w:pgMar w:top="1701" w:right="2408" w:bottom="2268" w:left="2410" w:header="567" w:footer="170" w:gutter="0"/>
      <w:cols w:space="720"/>
      <w:titlePg/>
      <w:docGrid w:linePitch="23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0767" w:rsidRDefault="00B60767">
      <w:r>
        <w:separator/>
      </w:r>
    </w:p>
  </w:endnote>
  <w:endnote w:type="continuationSeparator" w:id="0">
    <w:p w:rsidR="00B60767" w:rsidRDefault="00B607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8" w:type="dxa"/>
      <w:tblLayout w:type="fixed"/>
      <w:tblCellMar>
        <w:left w:w="0" w:type="dxa"/>
        <w:right w:w="0" w:type="dxa"/>
      </w:tblCellMar>
      <w:tblLook w:val="0000" w:firstRow="0" w:lastRow="0" w:firstColumn="0" w:lastColumn="0" w:noHBand="0" w:noVBand="0"/>
    </w:tblPr>
    <w:tblGrid>
      <w:gridCol w:w="9979"/>
    </w:tblGrid>
    <w:tr w:rsidR="00A4139C">
      <w:trPr>
        <w:trHeight w:hRule="exact" w:val="1320"/>
      </w:trPr>
      <w:tc>
        <w:tcPr>
          <w:tcW w:w="9979" w:type="dxa"/>
        </w:tcPr>
        <w:p w:rsidR="00A4139C" w:rsidRDefault="00170D6E">
          <w:pPr>
            <w:pStyle w:val="Fuzeile"/>
          </w:pPr>
          <w:bookmarkStart w:id="2" w:name="Fusszeile"/>
          <w:r>
            <w:rPr>
              <w:noProof/>
            </w:rPr>
            <w:drawing>
              <wp:inline distT="0" distB="0" distL="0" distR="0">
                <wp:extent cx="6322695" cy="855980"/>
                <wp:effectExtent l="0" t="0" r="1905" b="1270"/>
                <wp:docPr id="4" name="Bild 2" descr="Fusszeil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Fusszeil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bright="100000"/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22695" cy="8559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  <w:bookmarkEnd w:id="2"/>
        </w:p>
      </w:tc>
    </w:tr>
  </w:tbl>
  <w:p w:rsidR="00A4139C" w:rsidRDefault="00A4139C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0767" w:rsidRDefault="00B60767">
      <w:r>
        <w:separator/>
      </w:r>
    </w:p>
  </w:footnote>
  <w:footnote w:type="continuationSeparator" w:id="0">
    <w:p w:rsidR="00B60767" w:rsidRDefault="00B607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86737F">
    <w:pPr>
      <w:pStyle w:val="Kopfzeile"/>
      <w:framePr w:wrap="around" w:vAnchor="text" w:hAnchor="margin" w:xAlign="center" w:y="1"/>
      <w:rPr>
        <w:rStyle w:val="Seitenzahl"/>
      </w:rPr>
    </w:pPr>
    <w:r>
      <w:rPr>
        <w:rStyle w:val="Seitenzahl"/>
      </w:rPr>
      <w:fldChar w:fldCharType="begin"/>
    </w:r>
    <w:r w:rsidR="00A4139C">
      <w:rPr>
        <w:rStyle w:val="Seitenzahl"/>
      </w:rPr>
      <w:instrText xml:space="preserve">PAGE  </w:instrText>
    </w:r>
    <w:r>
      <w:rPr>
        <w:rStyle w:val="Seitenzahl"/>
      </w:rPr>
      <w:fldChar w:fldCharType="separate"/>
    </w:r>
    <w:r w:rsidR="00A4139C">
      <w:rPr>
        <w:rStyle w:val="Seitenzahl"/>
        <w:noProof/>
      </w:rPr>
      <w:t>1</w:t>
    </w:r>
    <w:r>
      <w:rPr>
        <w:rStyle w:val="Seitenzahl"/>
      </w:rPr>
      <w:fldChar w:fldCharType="end"/>
    </w:r>
  </w:p>
  <w:p w:rsidR="00A4139C" w:rsidRDefault="00A4139C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framePr w:w="567" w:wrap="around" w:vAnchor="text" w:hAnchor="margin" w:xAlign="center" w:y="1"/>
      <w:jc w:val="center"/>
    </w:pPr>
    <w:bookmarkStart w:id="1" w:name="Logo"/>
    <w:r>
      <w:t xml:space="preserve">- </w:t>
    </w:r>
    <w:r w:rsidR="00170D6E">
      <w:fldChar w:fldCharType="begin"/>
    </w:r>
    <w:r w:rsidR="00170D6E">
      <w:instrText xml:space="preserve"> PAGE </w:instrText>
    </w:r>
    <w:r w:rsidR="00170D6E">
      <w:fldChar w:fldCharType="separate"/>
    </w:r>
    <w:r w:rsidR="003E351A">
      <w:rPr>
        <w:noProof/>
      </w:rPr>
      <w:t>2</w:t>
    </w:r>
    <w:r w:rsidR="00170D6E">
      <w:rPr>
        <w:noProof/>
      </w:rPr>
      <w:fldChar w:fldCharType="end"/>
    </w:r>
    <w:r>
      <w:t xml:space="preserve"> -</w:t>
    </w:r>
  </w:p>
  <w:p w:rsidR="00A4139C" w:rsidRDefault="00170D6E">
    <w:pPr>
      <w:pStyle w:val="Kopfzeile"/>
      <w:jc w:val="right"/>
    </w:pPr>
    <w:r>
      <w:rPr>
        <w:noProof/>
      </w:rPr>
      <w:drawing>
        <wp:inline distT="0" distB="0" distL="0" distR="0">
          <wp:extent cx="1190625" cy="513715"/>
          <wp:effectExtent l="0" t="0" r="9525" b="635"/>
          <wp:docPr id="3" name="Bild 1" descr="KSB%20Logo_2c_klei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SB%20Logo_2c_klein"/>
                  <pic:cNvPicPr>
                    <a:picLocks noChangeAspect="1" noChangeArrowheads="1"/>
                  </pic:cNvPicPr>
                </pic:nvPicPr>
                <pic:blipFill>
                  <a:blip r:embed="rId1">
                    <a:lum bright="100000"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0625" cy="5137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End w:id="1"/>
  </w:p>
  <w:p w:rsidR="00A4139C" w:rsidRDefault="00A4139C">
    <w:pPr>
      <w:pStyle w:val="Kopfzeile"/>
      <w:jc w:val="right"/>
    </w:pPr>
  </w:p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4139C" w:rsidRDefault="00A4139C">
    <w:pPr>
      <w:pStyle w:val="Kopfzeile"/>
      <w:jc w:val="right"/>
    </w:pPr>
  </w:p>
  <w:p w:rsidR="00A4139C" w:rsidRDefault="00A4139C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60767"/>
    <w:rsid w:val="00010238"/>
    <w:rsid w:val="0002644F"/>
    <w:rsid w:val="00092033"/>
    <w:rsid w:val="000A5523"/>
    <w:rsid w:val="00111FC3"/>
    <w:rsid w:val="00170D6E"/>
    <w:rsid w:val="001B6A36"/>
    <w:rsid w:val="003E351A"/>
    <w:rsid w:val="004860FE"/>
    <w:rsid w:val="004A6F3C"/>
    <w:rsid w:val="00514B86"/>
    <w:rsid w:val="00563D15"/>
    <w:rsid w:val="005850FF"/>
    <w:rsid w:val="00731448"/>
    <w:rsid w:val="00790555"/>
    <w:rsid w:val="007949A8"/>
    <w:rsid w:val="007B1785"/>
    <w:rsid w:val="0086737F"/>
    <w:rsid w:val="0095666E"/>
    <w:rsid w:val="009B036D"/>
    <w:rsid w:val="00A4139C"/>
    <w:rsid w:val="00A86FFD"/>
    <w:rsid w:val="00AD48A9"/>
    <w:rsid w:val="00B60767"/>
    <w:rsid w:val="00C40FEE"/>
    <w:rsid w:val="00C51B04"/>
    <w:rsid w:val="00DD396A"/>
    <w:rsid w:val="00DD7872"/>
    <w:rsid w:val="00E07D07"/>
    <w:rsid w:val="00E351B3"/>
    <w:rsid w:val="00E356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41"/>
    <o:shapelayout v:ext="edit">
      <o:idmap v:ext="edit" data="1"/>
    </o:shapelayout>
  </w:shapeDefaults>
  <w:decimalSymbol w:val=","/>
  <w:listSeparator w:val=";"/>
  <w14:docId w14:val="52DD91DE"/>
  <w15:chartTrackingRefBased/>
  <w15:docId w15:val="{20A72840-9184-4DBA-88C5-52B1598B6A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86737F"/>
    <w:rPr>
      <w:rFonts w:ascii="Arial" w:hAnsi="Arial" w:cs="Arial"/>
      <w:sz w:val="22"/>
      <w:szCs w:val="22"/>
      <w:lang w:val="de-DE" w:eastAsia="de-DE"/>
    </w:rPr>
  </w:style>
  <w:style w:type="paragraph" w:styleId="berschrift1">
    <w:name w:val="heading 1"/>
    <w:basedOn w:val="Standard"/>
    <w:next w:val="Standard"/>
    <w:qFormat/>
    <w:rsid w:val="0086737F"/>
    <w:pPr>
      <w:keepNext/>
      <w:spacing w:line="240" w:lineRule="exact"/>
      <w:outlineLvl w:val="0"/>
    </w:pPr>
    <w:rPr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86737F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6737F"/>
    <w:pPr>
      <w:tabs>
        <w:tab w:val="center" w:pos="4536"/>
        <w:tab w:val="right" w:pos="9072"/>
      </w:tabs>
    </w:pPr>
  </w:style>
  <w:style w:type="paragraph" w:styleId="Textkrper">
    <w:name w:val="Body Text"/>
    <w:basedOn w:val="Standard"/>
    <w:rsid w:val="0086737F"/>
    <w:pPr>
      <w:spacing w:line="220" w:lineRule="exact"/>
    </w:pPr>
    <w:rPr>
      <w:sz w:val="16"/>
      <w:szCs w:val="16"/>
    </w:rPr>
  </w:style>
  <w:style w:type="character" w:styleId="Seitenzahl">
    <w:name w:val="page number"/>
    <w:basedOn w:val="Absatz-Standardschriftart"/>
    <w:rsid w:val="0086737F"/>
  </w:style>
  <w:style w:type="character" w:styleId="Fett">
    <w:name w:val="Strong"/>
    <w:basedOn w:val="Absatz-Standardschriftart"/>
    <w:uiPriority w:val="22"/>
    <w:qFormat/>
    <w:rsid w:val="00E07D0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5D8DF9-A8DF-428A-9D49-D21FD43417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223</Words>
  <Characters>1595</Characters>
  <Application>Microsoft Office Word</Application>
  <DocSecurity>0</DocSecurity>
  <Lines>13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 Aktiengesellschaft • Johann-Klein-Straße 9 • 67227 Frankenthal</vt:lpstr>
    </vt:vector>
  </TitlesOfParts>
  <Company>KSB Group</Company>
  <LinksUpToDate>false</LinksUpToDate>
  <CharactersWithSpaces>1815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 Aktiengesellschaft • Johann-Klein-Straße 9 • 67227 Frankenthal</dc:title>
  <dc:subject/>
  <dc:creator>Pauly, Christoph</dc:creator>
  <cp:keywords/>
  <dc:description/>
  <cp:lastModifiedBy>Pauly, Christoph</cp:lastModifiedBy>
  <cp:revision>3</cp:revision>
  <cp:lastPrinted>2006-04-21T08:51:00Z</cp:lastPrinted>
  <dcterms:created xsi:type="dcterms:W3CDTF">2025-07-09T09:01:00Z</dcterms:created>
  <dcterms:modified xsi:type="dcterms:W3CDTF">2025-07-09T09:03:00Z</dcterms:modified>
</cp:coreProperties>
</file>