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1FAD5F" w14:textId="6AB8CFB0" w:rsidR="009F4208" w:rsidRDefault="00B06A48" w:rsidP="00A06119">
      <w:pPr>
        <w:ind w:right="23"/>
        <w:jc w:val="both"/>
        <w:rPr>
          <w:rFonts w:ascii="Arial" w:hAnsi="Arial"/>
          <w:b/>
          <w:sz w:val="22"/>
        </w:rPr>
      </w:pPr>
      <w:bookmarkStart w:id="0" w:name="_GoBack"/>
      <w:r>
        <w:rPr>
          <w:rFonts w:ascii="Arial" w:hAnsi="Arial"/>
          <w:b/>
          <w:sz w:val="22"/>
        </w:rPr>
        <w:t xml:space="preserve">High-efficiency </w:t>
      </w:r>
      <w:r w:rsidR="009C3EF8">
        <w:rPr>
          <w:rFonts w:ascii="Arial" w:hAnsi="Arial"/>
          <w:b/>
          <w:sz w:val="22"/>
        </w:rPr>
        <w:t>circulator for building services applications</w:t>
      </w:r>
    </w:p>
    <w:p w14:paraId="4F047FF5" w14:textId="7AADBEDB" w:rsidR="00613FE0" w:rsidRDefault="00613FE0" w:rsidP="00A06119">
      <w:pPr>
        <w:ind w:right="23"/>
        <w:jc w:val="both"/>
        <w:rPr>
          <w:rFonts w:ascii="Arial" w:hAnsi="Arial"/>
          <w:b/>
          <w:sz w:val="22"/>
        </w:rPr>
      </w:pPr>
    </w:p>
    <w:p w14:paraId="767FC420" w14:textId="6F547D7B" w:rsidR="00613FE0" w:rsidRDefault="00613FE0" w:rsidP="00A06119">
      <w:pPr>
        <w:ind w:right="23"/>
        <w:jc w:val="both"/>
        <w:rPr>
          <w:rFonts w:ascii="Arial" w:hAnsi="Arial"/>
          <w:b/>
          <w:sz w:val="22"/>
        </w:rPr>
      </w:pPr>
      <w:r>
        <w:rPr>
          <w:rFonts w:ascii="Arial" w:hAnsi="Arial"/>
          <w:b/>
          <w:sz w:val="22"/>
        </w:rPr>
        <w:t>ISH 2025</w:t>
      </w:r>
    </w:p>
    <w:p w14:paraId="2FEF6C93" w14:textId="77777777" w:rsidR="00613FE0" w:rsidRPr="006E0561" w:rsidRDefault="00613FE0" w:rsidP="00A06119">
      <w:pPr>
        <w:ind w:right="23"/>
        <w:jc w:val="both"/>
        <w:rPr>
          <w:rFonts w:ascii="Arial" w:hAnsi="Arial" w:cs="Arial"/>
          <w:b/>
          <w:bCs/>
          <w:sz w:val="22"/>
          <w:szCs w:val="22"/>
        </w:rPr>
      </w:pPr>
    </w:p>
    <w:p w14:paraId="1468B168" w14:textId="77777777" w:rsidR="00BD4B49" w:rsidRPr="006E0561" w:rsidRDefault="00B83A00" w:rsidP="00BD4B49">
      <w:pPr>
        <w:jc w:val="both"/>
        <w:rPr>
          <w:rFonts w:ascii="Arial" w:hAnsi="Arial" w:cs="Arial"/>
          <w:sz w:val="22"/>
          <w:szCs w:val="22"/>
        </w:rPr>
      </w:pPr>
      <w:r>
        <w:rPr>
          <w:rFonts w:ascii="Arial" w:hAnsi="Arial"/>
          <w:sz w:val="22"/>
        </w:rPr>
        <w:t>A technical highlight at ISH 2025 will be the KSB Group’s Calio Pro Plus type series – an extension to its programme of high-efficiency glandless pumps with continuously variable speed control. The new pumps reach efficiencies that exceed the requirements of the current energy efficiency regulations.</w:t>
      </w:r>
    </w:p>
    <w:p w14:paraId="0F6AA219" w14:textId="77777777" w:rsidR="00BD4B49" w:rsidRPr="006E0561" w:rsidRDefault="00BD4B49" w:rsidP="00E67028">
      <w:pPr>
        <w:jc w:val="both"/>
        <w:rPr>
          <w:rFonts w:ascii="Arial" w:hAnsi="Arial" w:cs="Arial"/>
          <w:sz w:val="22"/>
          <w:szCs w:val="22"/>
        </w:rPr>
      </w:pPr>
    </w:p>
    <w:p w14:paraId="08D95F38" w14:textId="6DE3A468" w:rsidR="00477F41" w:rsidRPr="006E0561" w:rsidRDefault="00E67028" w:rsidP="00E67028">
      <w:pPr>
        <w:jc w:val="both"/>
        <w:rPr>
          <w:rFonts w:ascii="Arial" w:hAnsi="Arial" w:cs="Arial"/>
          <w:sz w:val="22"/>
          <w:szCs w:val="22"/>
        </w:rPr>
      </w:pPr>
      <w:r>
        <w:rPr>
          <w:rFonts w:ascii="Arial" w:hAnsi="Arial"/>
          <w:sz w:val="22"/>
        </w:rPr>
        <w:t xml:space="preserve">Thanks to the integrated intelligent Dynamic Control program, energy savings of up to 40 percent </w:t>
      </w:r>
      <w:r w:rsidR="00716FE9">
        <w:rPr>
          <w:rFonts w:ascii="Arial" w:hAnsi="Arial"/>
          <w:sz w:val="22"/>
        </w:rPr>
        <w:t xml:space="preserve">more </w:t>
      </w:r>
      <w:r>
        <w:rPr>
          <w:rFonts w:ascii="Arial" w:hAnsi="Arial"/>
          <w:sz w:val="22"/>
        </w:rPr>
        <w:t xml:space="preserve">can be achieved compared with conventional proportional-pressure control. As the function is purely based on software, no additional costs will be incurred by further sensors or actuators. The pumps automatically gather all required information from their internal signals. This patented technology practically rules out undersupply in changing system conditions. </w:t>
      </w:r>
    </w:p>
    <w:p w14:paraId="16269B6C" w14:textId="77777777" w:rsidR="00E67028" w:rsidRPr="006E0561" w:rsidRDefault="00E67028" w:rsidP="00E67028">
      <w:pPr>
        <w:jc w:val="both"/>
        <w:rPr>
          <w:rFonts w:ascii="Arial" w:hAnsi="Arial" w:cs="Arial"/>
          <w:sz w:val="22"/>
          <w:szCs w:val="22"/>
        </w:rPr>
      </w:pPr>
    </w:p>
    <w:p w14:paraId="62253AED" w14:textId="77777777" w:rsidR="009F3BE3" w:rsidRDefault="009F3BE3" w:rsidP="004C79C0">
      <w:pPr>
        <w:jc w:val="both"/>
        <w:rPr>
          <w:rFonts w:ascii="Arial" w:hAnsi="Arial" w:cs="Arial"/>
          <w:sz w:val="22"/>
          <w:szCs w:val="22"/>
        </w:rPr>
      </w:pPr>
      <w:r>
        <w:rPr>
          <w:rFonts w:ascii="Arial" w:hAnsi="Arial"/>
          <w:sz w:val="22"/>
        </w:rPr>
        <w:t>The pump offers comprehensive connectivity options for flexible integration into building management systems. A Modbus RTU interface is integrated as standard, enabling direct connection. Additional plug-in modules provide extended compatibility with all common building management systems. Two parameterisable relays are available for operation and fault messages. Connectivity is rounded off by a configurable digital input and an adjustable analog input.</w:t>
      </w:r>
    </w:p>
    <w:p w14:paraId="7B5AD352" w14:textId="77777777" w:rsidR="004C79C0" w:rsidRPr="006E0561" w:rsidRDefault="004C79C0" w:rsidP="004C79C0">
      <w:pPr>
        <w:jc w:val="both"/>
        <w:rPr>
          <w:rFonts w:ascii="Arial" w:hAnsi="Arial" w:cs="Arial"/>
          <w:sz w:val="22"/>
          <w:szCs w:val="22"/>
        </w:rPr>
      </w:pPr>
    </w:p>
    <w:p w14:paraId="6669ED18" w14:textId="2E16BD83" w:rsidR="004C79C0" w:rsidRPr="006E0561" w:rsidRDefault="004C79C0" w:rsidP="004C79C0">
      <w:pPr>
        <w:jc w:val="both"/>
        <w:rPr>
          <w:rFonts w:ascii="Arial" w:hAnsi="Arial" w:cs="Arial"/>
          <w:sz w:val="22"/>
          <w:szCs w:val="22"/>
        </w:rPr>
      </w:pPr>
      <w:r>
        <w:rPr>
          <w:rFonts w:ascii="Arial" w:hAnsi="Arial"/>
          <w:sz w:val="22"/>
        </w:rPr>
        <w:t>Installation and commissioning are straightforward. All operating modes, functions and setpoints in metres are fast and easy to adjust directly at the pump or via the Bluetooth interface. An energy meter helps monitor and optimise consumption. Also, the pumps offer practical functions such as an operating point display, a calorimeter and a vent function. A d</w:t>
      </w:r>
      <w:r w:rsidR="00F55EBD">
        <w:rPr>
          <w:rFonts w:ascii="Arial" w:hAnsi="Arial"/>
          <w:sz w:val="22"/>
        </w:rPr>
        <w:t>ual-pump variant Calio Pro Plus </w:t>
      </w:r>
      <w:r>
        <w:rPr>
          <w:rFonts w:ascii="Arial" w:hAnsi="Arial"/>
          <w:sz w:val="22"/>
        </w:rPr>
        <w:t>Z is available for dual-pump operation. Suitable for operation with one pump redundant or with both pumps running during maximum load, this model is designed with an energy-efficient changeover behaviour.</w:t>
      </w:r>
    </w:p>
    <w:p w14:paraId="08B998C0" w14:textId="77777777" w:rsidR="004C79C0" w:rsidRPr="006E0561" w:rsidRDefault="004C79C0" w:rsidP="004C79C0">
      <w:pPr>
        <w:jc w:val="both"/>
        <w:rPr>
          <w:rFonts w:ascii="Arial" w:hAnsi="Arial" w:cs="Arial"/>
          <w:sz w:val="22"/>
          <w:szCs w:val="22"/>
        </w:rPr>
      </w:pPr>
    </w:p>
    <w:p w14:paraId="7628D114" w14:textId="253385DB" w:rsidR="00E67028" w:rsidRPr="006E0561" w:rsidRDefault="004C79C0" w:rsidP="00E67028">
      <w:pPr>
        <w:jc w:val="both"/>
        <w:rPr>
          <w:rFonts w:ascii="Arial" w:hAnsi="Arial" w:cs="Arial"/>
          <w:sz w:val="22"/>
          <w:szCs w:val="22"/>
        </w:rPr>
      </w:pPr>
      <w:r>
        <w:rPr>
          <w:rFonts w:ascii="Arial" w:hAnsi="Arial"/>
          <w:sz w:val="22"/>
        </w:rPr>
        <w:t>Commissioning is swift with the intuitive KSB FlowManager app. The app helps users configure all electrical connections in a flexible and user-friendly way. In the app’s Favourites menu all pump information is quickly accessible. A clear overview of process values is displayed in a graphical diagram. Integrated motor protection ensures high operating reliability. The maintenance-free motor is fitted with a carbon fibre reinforced plastic can. The integrated filter system provides reliable protection against contaminants, such as magnetite.</w:t>
      </w:r>
    </w:p>
    <w:p w14:paraId="16E9D864" w14:textId="77777777" w:rsidR="007B782A" w:rsidRPr="006E0561" w:rsidRDefault="007B782A" w:rsidP="007B782A">
      <w:pPr>
        <w:jc w:val="both"/>
        <w:rPr>
          <w:rFonts w:ascii="Arial" w:hAnsi="Arial" w:cs="Arial"/>
          <w:sz w:val="22"/>
          <w:szCs w:val="22"/>
        </w:rPr>
      </w:pPr>
    </w:p>
    <w:p w14:paraId="241F2C00" w14:textId="5F53A71A" w:rsidR="00591182" w:rsidRPr="006E0561" w:rsidRDefault="007B782A" w:rsidP="004C79C0">
      <w:pPr>
        <w:jc w:val="both"/>
        <w:rPr>
          <w:rFonts w:ascii="Arial" w:hAnsi="Arial" w:cs="Arial"/>
          <w:sz w:val="22"/>
          <w:szCs w:val="22"/>
        </w:rPr>
      </w:pPr>
      <w:r>
        <w:rPr>
          <w:rFonts w:ascii="Arial" w:hAnsi="Arial"/>
          <w:sz w:val="22"/>
        </w:rPr>
        <w:t>The pumps of the Calio Pro Plus type series are designed for universal use and cover the pressure classes PN 6, PN 10 and PN 16. New and enhanced characteristic curves offer an extended operating range. The new type series is available in 46 sizes and can handle flow rates of up to 28 m</w:t>
      </w:r>
      <w:r w:rsidR="00435F44" w:rsidRPr="006E0561">
        <w:rPr>
          <w:rFonts w:ascii="Arial" w:hAnsi="Arial"/>
          <w:sz w:val="22"/>
          <w:szCs w:val="22"/>
          <w:vertAlign w:val="superscript"/>
        </w:rPr>
        <w:t>3</w:t>
      </w:r>
      <w:r>
        <w:rPr>
          <w:rFonts w:ascii="Arial" w:hAnsi="Arial"/>
          <w:sz w:val="22"/>
        </w:rPr>
        <w:t>/h at a maximum head of 16 mWC. The fluid temperature range from -10 to +110 °C makes the new pump sets suitable for a wide variety of applications, from heating water to coolant transport and industrial recirculation systems. The pumps are also available in a twin pump configuration as Calio Pro Plus Z.</w:t>
      </w:r>
    </w:p>
    <w:p w14:paraId="5AE7D444" w14:textId="77777777" w:rsidR="004C79C0" w:rsidRPr="006E0561" w:rsidRDefault="004C79C0" w:rsidP="00A949A8">
      <w:pPr>
        <w:autoSpaceDE w:val="0"/>
        <w:autoSpaceDN w:val="0"/>
        <w:jc w:val="both"/>
        <w:rPr>
          <w:rFonts w:ascii="Arial" w:hAnsi="Arial" w:cs="Arial"/>
          <w:sz w:val="22"/>
          <w:szCs w:val="22"/>
        </w:rPr>
      </w:pPr>
    </w:p>
    <w:p w14:paraId="0AC70D7F" w14:textId="77777777" w:rsidR="004C79C0" w:rsidRPr="006E0561" w:rsidRDefault="004C79C0" w:rsidP="004C79C0">
      <w:pPr>
        <w:jc w:val="both"/>
        <w:rPr>
          <w:rFonts w:ascii="Arial" w:hAnsi="Arial" w:cs="Arial"/>
          <w:sz w:val="22"/>
          <w:szCs w:val="22"/>
        </w:rPr>
      </w:pPr>
      <w:r>
        <w:rPr>
          <w:rFonts w:ascii="Arial" w:hAnsi="Arial"/>
          <w:sz w:val="22"/>
        </w:rPr>
        <w:t>To assess the product's environmental impact over its entire life cycle, the pump manufacturer performed a life cycle impact assessment (LCIA) in accordance with the standards ISO 14040 and 14044.</w:t>
      </w:r>
    </w:p>
    <w:p w14:paraId="115D7DFB" w14:textId="77777777" w:rsidR="00591182" w:rsidRPr="006E0561" w:rsidRDefault="00591182" w:rsidP="00A949A8">
      <w:pPr>
        <w:ind w:right="23"/>
        <w:jc w:val="both"/>
        <w:rPr>
          <w:rFonts w:ascii="Arial" w:hAnsi="Arial" w:cs="Arial"/>
          <w:sz w:val="22"/>
          <w:szCs w:val="22"/>
        </w:rPr>
      </w:pPr>
    </w:p>
    <w:p w14:paraId="4AB6CC8A" w14:textId="77777777" w:rsidR="00590E59" w:rsidRPr="006E0561" w:rsidRDefault="000907F6" w:rsidP="00A949A8">
      <w:pPr>
        <w:jc w:val="both"/>
        <w:rPr>
          <w:sz w:val="22"/>
          <w:szCs w:val="22"/>
        </w:rPr>
      </w:pPr>
      <w:r>
        <w:rPr>
          <w:rFonts w:ascii="Arial" w:hAnsi="Arial"/>
          <w:sz w:val="22"/>
        </w:rPr>
        <w:t xml:space="preserve">Photo: The KSB Group will launch its high-efficiency Calio Pro Plus series at ISH 2025. </w:t>
      </w:r>
      <w:bookmarkEnd w:id="0"/>
    </w:p>
    <w:sectPr w:rsidR="00590E59" w:rsidRPr="006E0561" w:rsidSect="009A3B95">
      <w:pgSz w:w="12240" w:h="15840"/>
      <w:pgMar w:top="1134" w:right="2034" w:bottom="993" w:left="1701" w:header="426"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E026BC" w14:textId="77777777" w:rsidR="00382161" w:rsidRDefault="00382161" w:rsidP="00A949A8">
      <w:r>
        <w:separator/>
      </w:r>
    </w:p>
  </w:endnote>
  <w:endnote w:type="continuationSeparator" w:id="0">
    <w:p w14:paraId="2116BB4D" w14:textId="77777777" w:rsidR="00382161" w:rsidRDefault="00382161" w:rsidP="00A949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1699DC" w14:textId="77777777" w:rsidR="00382161" w:rsidRDefault="00382161" w:rsidP="00A949A8">
      <w:r>
        <w:separator/>
      </w:r>
    </w:p>
  </w:footnote>
  <w:footnote w:type="continuationSeparator" w:id="0">
    <w:p w14:paraId="2762632D" w14:textId="77777777" w:rsidR="00382161" w:rsidRDefault="00382161" w:rsidP="00A949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910CA4"/>
    <w:multiLevelType w:val="hybridMultilevel"/>
    <w:tmpl w:val="2FA66D92"/>
    <w:lvl w:ilvl="0" w:tplc="001A1BEE">
      <w:start w:val="1"/>
      <w:numFmt w:val="bullet"/>
      <w:lvlText w:val=""/>
      <w:lvlJc w:val="left"/>
      <w:pPr>
        <w:tabs>
          <w:tab w:val="num" w:pos="720"/>
        </w:tabs>
        <w:ind w:left="720" w:hanging="360"/>
      </w:pPr>
      <w:rPr>
        <w:rFonts w:ascii="Wingdings" w:hAnsi="Wingdings" w:hint="default"/>
      </w:rPr>
    </w:lvl>
    <w:lvl w:ilvl="1" w:tplc="BC627E76" w:tentative="1">
      <w:start w:val="1"/>
      <w:numFmt w:val="bullet"/>
      <w:lvlText w:val=""/>
      <w:lvlJc w:val="left"/>
      <w:pPr>
        <w:tabs>
          <w:tab w:val="num" w:pos="1440"/>
        </w:tabs>
        <w:ind w:left="1440" w:hanging="360"/>
      </w:pPr>
      <w:rPr>
        <w:rFonts w:ascii="Wingdings" w:hAnsi="Wingdings" w:hint="default"/>
      </w:rPr>
    </w:lvl>
    <w:lvl w:ilvl="2" w:tplc="1AAEC7EE" w:tentative="1">
      <w:start w:val="1"/>
      <w:numFmt w:val="bullet"/>
      <w:lvlText w:val=""/>
      <w:lvlJc w:val="left"/>
      <w:pPr>
        <w:tabs>
          <w:tab w:val="num" w:pos="2160"/>
        </w:tabs>
        <w:ind w:left="2160" w:hanging="360"/>
      </w:pPr>
      <w:rPr>
        <w:rFonts w:ascii="Wingdings" w:hAnsi="Wingdings" w:hint="default"/>
      </w:rPr>
    </w:lvl>
    <w:lvl w:ilvl="3" w:tplc="90F8214A" w:tentative="1">
      <w:start w:val="1"/>
      <w:numFmt w:val="bullet"/>
      <w:lvlText w:val=""/>
      <w:lvlJc w:val="left"/>
      <w:pPr>
        <w:tabs>
          <w:tab w:val="num" w:pos="2880"/>
        </w:tabs>
        <w:ind w:left="2880" w:hanging="360"/>
      </w:pPr>
      <w:rPr>
        <w:rFonts w:ascii="Wingdings" w:hAnsi="Wingdings" w:hint="default"/>
      </w:rPr>
    </w:lvl>
    <w:lvl w:ilvl="4" w:tplc="68A28192" w:tentative="1">
      <w:start w:val="1"/>
      <w:numFmt w:val="bullet"/>
      <w:lvlText w:val=""/>
      <w:lvlJc w:val="left"/>
      <w:pPr>
        <w:tabs>
          <w:tab w:val="num" w:pos="3600"/>
        </w:tabs>
        <w:ind w:left="3600" w:hanging="360"/>
      </w:pPr>
      <w:rPr>
        <w:rFonts w:ascii="Wingdings" w:hAnsi="Wingdings" w:hint="default"/>
      </w:rPr>
    </w:lvl>
    <w:lvl w:ilvl="5" w:tplc="2782092E" w:tentative="1">
      <w:start w:val="1"/>
      <w:numFmt w:val="bullet"/>
      <w:lvlText w:val=""/>
      <w:lvlJc w:val="left"/>
      <w:pPr>
        <w:tabs>
          <w:tab w:val="num" w:pos="4320"/>
        </w:tabs>
        <w:ind w:left="4320" w:hanging="360"/>
      </w:pPr>
      <w:rPr>
        <w:rFonts w:ascii="Wingdings" w:hAnsi="Wingdings" w:hint="default"/>
      </w:rPr>
    </w:lvl>
    <w:lvl w:ilvl="6" w:tplc="81284EE6" w:tentative="1">
      <w:start w:val="1"/>
      <w:numFmt w:val="bullet"/>
      <w:lvlText w:val=""/>
      <w:lvlJc w:val="left"/>
      <w:pPr>
        <w:tabs>
          <w:tab w:val="num" w:pos="5040"/>
        </w:tabs>
        <w:ind w:left="5040" w:hanging="360"/>
      </w:pPr>
      <w:rPr>
        <w:rFonts w:ascii="Wingdings" w:hAnsi="Wingdings" w:hint="default"/>
      </w:rPr>
    </w:lvl>
    <w:lvl w:ilvl="7" w:tplc="385461CE" w:tentative="1">
      <w:start w:val="1"/>
      <w:numFmt w:val="bullet"/>
      <w:lvlText w:val=""/>
      <w:lvlJc w:val="left"/>
      <w:pPr>
        <w:tabs>
          <w:tab w:val="num" w:pos="5760"/>
        </w:tabs>
        <w:ind w:left="5760" w:hanging="360"/>
      </w:pPr>
      <w:rPr>
        <w:rFonts w:ascii="Wingdings" w:hAnsi="Wingdings" w:hint="default"/>
      </w:rPr>
    </w:lvl>
    <w:lvl w:ilvl="8" w:tplc="B7A6142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B513514"/>
    <w:multiLevelType w:val="hybridMultilevel"/>
    <w:tmpl w:val="E3C48754"/>
    <w:lvl w:ilvl="0" w:tplc="12B885A0">
      <w:start w:val="1"/>
      <w:numFmt w:val="bullet"/>
      <w:lvlText w:val=""/>
      <w:lvlJc w:val="left"/>
      <w:pPr>
        <w:tabs>
          <w:tab w:val="num" w:pos="720"/>
        </w:tabs>
        <w:ind w:left="720" w:hanging="360"/>
      </w:pPr>
      <w:rPr>
        <w:rFonts w:ascii="Wingdings" w:hAnsi="Wingdings" w:hint="default"/>
      </w:rPr>
    </w:lvl>
    <w:lvl w:ilvl="1" w:tplc="BFFEE64C" w:tentative="1">
      <w:start w:val="1"/>
      <w:numFmt w:val="bullet"/>
      <w:lvlText w:val=""/>
      <w:lvlJc w:val="left"/>
      <w:pPr>
        <w:tabs>
          <w:tab w:val="num" w:pos="1440"/>
        </w:tabs>
        <w:ind w:left="1440" w:hanging="360"/>
      </w:pPr>
      <w:rPr>
        <w:rFonts w:ascii="Wingdings" w:hAnsi="Wingdings" w:hint="default"/>
      </w:rPr>
    </w:lvl>
    <w:lvl w:ilvl="2" w:tplc="B5528CE4" w:tentative="1">
      <w:start w:val="1"/>
      <w:numFmt w:val="bullet"/>
      <w:lvlText w:val=""/>
      <w:lvlJc w:val="left"/>
      <w:pPr>
        <w:tabs>
          <w:tab w:val="num" w:pos="2160"/>
        </w:tabs>
        <w:ind w:left="2160" w:hanging="360"/>
      </w:pPr>
      <w:rPr>
        <w:rFonts w:ascii="Wingdings" w:hAnsi="Wingdings" w:hint="default"/>
      </w:rPr>
    </w:lvl>
    <w:lvl w:ilvl="3" w:tplc="B0F2B84E" w:tentative="1">
      <w:start w:val="1"/>
      <w:numFmt w:val="bullet"/>
      <w:lvlText w:val=""/>
      <w:lvlJc w:val="left"/>
      <w:pPr>
        <w:tabs>
          <w:tab w:val="num" w:pos="2880"/>
        </w:tabs>
        <w:ind w:left="2880" w:hanging="360"/>
      </w:pPr>
      <w:rPr>
        <w:rFonts w:ascii="Wingdings" w:hAnsi="Wingdings" w:hint="default"/>
      </w:rPr>
    </w:lvl>
    <w:lvl w:ilvl="4" w:tplc="0708F65C" w:tentative="1">
      <w:start w:val="1"/>
      <w:numFmt w:val="bullet"/>
      <w:lvlText w:val=""/>
      <w:lvlJc w:val="left"/>
      <w:pPr>
        <w:tabs>
          <w:tab w:val="num" w:pos="3600"/>
        </w:tabs>
        <w:ind w:left="3600" w:hanging="360"/>
      </w:pPr>
      <w:rPr>
        <w:rFonts w:ascii="Wingdings" w:hAnsi="Wingdings" w:hint="default"/>
      </w:rPr>
    </w:lvl>
    <w:lvl w:ilvl="5" w:tplc="CF8CD8CE" w:tentative="1">
      <w:start w:val="1"/>
      <w:numFmt w:val="bullet"/>
      <w:lvlText w:val=""/>
      <w:lvlJc w:val="left"/>
      <w:pPr>
        <w:tabs>
          <w:tab w:val="num" w:pos="4320"/>
        </w:tabs>
        <w:ind w:left="4320" w:hanging="360"/>
      </w:pPr>
      <w:rPr>
        <w:rFonts w:ascii="Wingdings" w:hAnsi="Wingdings" w:hint="default"/>
      </w:rPr>
    </w:lvl>
    <w:lvl w:ilvl="6" w:tplc="0FFEC716" w:tentative="1">
      <w:start w:val="1"/>
      <w:numFmt w:val="bullet"/>
      <w:lvlText w:val=""/>
      <w:lvlJc w:val="left"/>
      <w:pPr>
        <w:tabs>
          <w:tab w:val="num" w:pos="5040"/>
        </w:tabs>
        <w:ind w:left="5040" w:hanging="360"/>
      </w:pPr>
      <w:rPr>
        <w:rFonts w:ascii="Wingdings" w:hAnsi="Wingdings" w:hint="default"/>
      </w:rPr>
    </w:lvl>
    <w:lvl w:ilvl="7" w:tplc="0EF42A30" w:tentative="1">
      <w:start w:val="1"/>
      <w:numFmt w:val="bullet"/>
      <w:lvlText w:val=""/>
      <w:lvlJc w:val="left"/>
      <w:pPr>
        <w:tabs>
          <w:tab w:val="num" w:pos="5760"/>
        </w:tabs>
        <w:ind w:left="5760" w:hanging="360"/>
      </w:pPr>
      <w:rPr>
        <w:rFonts w:ascii="Wingdings" w:hAnsi="Wingdings" w:hint="default"/>
      </w:rPr>
    </w:lvl>
    <w:lvl w:ilvl="8" w:tplc="C4C8AC48"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F3129F8-2A28-46E9-B114-D9BB04A45846}"/>
    <w:docVar w:name="dgnword-eventsink" w:val="555134680"/>
  </w:docVars>
  <w:rsids>
    <w:rsidRoot w:val="009348B6"/>
    <w:rsid w:val="0001130C"/>
    <w:rsid w:val="000267E2"/>
    <w:rsid w:val="00050D73"/>
    <w:rsid w:val="000873D7"/>
    <w:rsid w:val="000907F6"/>
    <w:rsid w:val="000B05E8"/>
    <w:rsid w:val="000B4B8A"/>
    <w:rsid w:val="000D0DAC"/>
    <w:rsid w:val="000D1045"/>
    <w:rsid w:val="00104094"/>
    <w:rsid w:val="001905AD"/>
    <w:rsid w:val="00193002"/>
    <w:rsid w:val="00193D47"/>
    <w:rsid w:val="001C3B97"/>
    <w:rsid w:val="001D0505"/>
    <w:rsid w:val="001F7A1C"/>
    <w:rsid w:val="0022570E"/>
    <w:rsid w:val="002315B6"/>
    <w:rsid w:val="0025545D"/>
    <w:rsid w:val="002570AA"/>
    <w:rsid w:val="002770B7"/>
    <w:rsid w:val="002A6C50"/>
    <w:rsid w:val="002B27B4"/>
    <w:rsid w:val="002B304F"/>
    <w:rsid w:val="002D141D"/>
    <w:rsid w:val="002E28BD"/>
    <w:rsid w:val="002E46CF"/>
    <w:rsid w:val="00326600"/>
    <w:rsid w:val="00333D8F"/>
    <w:rsid w:val="00340156"/>
    <w:rsid w:val="0036314B"/>
    <w:rsid w:val="00363A93"/>
    <w:rsid w:val="00382161"/>
    <w:rsid w:val="00394864"/>
    <w:rsid w:val="00396904"/>
    <w:rsid w:val="003D5A2C"/>
    <w:rsid w:val="003E700F"/>
    <w:rsid w:val="003E703F"/>
    <w:rsid w:val="003F2919"/>
    <w:rsid w:val="003F4AD5"/>
    <w:rsid w:val="004009E4"/>
    <w:rsid w:val="0040200A"/>
    <w:rsid w:val="00403D22"/>
    <w:rsid w:val="00407557"/>
    <w:rsid w:val="004204C6"/>
    <w:rsid w:val="004241BA"/>
    <w:rsid w:val="00424437"/>
    <w:rsid w:val="00435F44"/>
    <w:rsid w:val="004435CF"/>
    <w:rsid w:val="004559D4"/>
    <w:rsid w:val="00467B0C"/>
    <w:rsid w:val="00476D91"/>
    <w:rsid w:val="00477F41"/>
    <w:rsid w:val="004A34C1"/>
    <w:rsid w:val="004B08A2"/>
    <w:rsid w:val="004C5306"/>
    <w:rsid w:val="004C79C0"/>
    <w:rsid w:val="004E2898"/>
    <w:rsid w:val="004F2979"/>
    <w:rsid w:val="004F4E4D"/>
    <w:rsid w:val="0053684E"/>
    <w:rsid w:val="00551B21"/>
    <w:rsid w:val="00563C58"/>
    <w:rsid w:val="00572138"/>
    <w:rsid w:val="00590E59"/>
    <w:rsid w:val="00591182"/>
    <w:rsid w:val="005A2B52"/>
    <w:rsid w:val="005A3B87"/>
    <w:rsid w:val="005B09AA"/>
    <w:rsid w:val="005B1986"/>
    <w:rsid w:val="005C5E38"/>
    <w:rsid w:val="005E331A"/>
    <w:rsid w:val="005F0BE7"/>
    <w:rsid w:val="005F363E"/>
    <w:rsid w:val="005F58F9"/>
    <w:rsid w:val="00613FE0"/>
    <w:rsid w:val="0064647E"/>
    <w:rsid w:val="00650C84"/>
    <w:rsid w:val="00673602"/>
    <w:rsid w:val="006741BD"/>
    <w:rsid w:val="00690406"/>
    <w:rsid w:val="00692DDD"/>
    <w:rsid w:val="006959AA"/>
    <w:rsid w:val="006A24B3"/>
    <w:rsid w:val="006D43D1"/>
    <w:rsid w:val="006D595F"/>
    <w:rsid w:val="006E0561"/>
    <w:rsid w:val="006F2BB4"/>
    <w:rsid w:val="0070198D"/>
    <w:rsid w:val="00703273"/>
    <w:rsid w:val="00716FE9"/>
    <w:rsid w:val="00753B82"/>
    <w:rsid w:val="007644F6"/>
    <w:rsid w:val="00772E9F"/>
    <w:rsid w:val="00793997"/>
    <w:rsid w:val="007A14DA"/>
    <w:rsid w:val="007B465F"/>
    <w:rsid w:val="007B782A"/>
    <w:rsid w:val="007D63C2"/>
    <w:rsid w:val="007D717E"/>
    <w:rsid w:val="007D7A7D"/>
    <w:rsid w:val="0082644A"/>
    <w:rsid w:val="008264A3"/>
    <w:rsid w:val="00840BF7"/>
    <w:rsid w:val="00842854"/>
    <w:rsid w:val="00852CC2"/>
    <w:rsid w:val="00861330"/>
    <w:rsid w:val="0086390B"/>
    <w:rsid w:val="008661F0"/>
    <w:rsid w:val="00870E22"/>
    <w:rsid w:val="00877076"/>
    <w:rsid w:val="00886A86"/>
    <w:rsid w:val="008A409E"/>
    <w:rsid w:val="008A6C74"/>
    <w:rsid w:val="008F5E7B"/>
    <w:rsid w:val="00907734"/>
    <w:rsid w:val="00927A58"/>
    <w:rsid w:val="009303E6"/>
    <w:rsid w:val="009348B6"/>
    <w:rsid w:val="00937696"/>
    <w:rsid w:val="009418DF"/>
    <w:rsid w:val="00956097"/>
    <w:rsid w:val="00962647"/>
    <w:rsid w:val="00963C1A"/>
    <w:rsid w:val="009969A4"/>
    <w:rsid w:val="00996C86"/>
    <w:rsid w:val="009A0A9C"/>
    <w:rsid w:val="009A1868"/>
    <w:rsid w:val="009A287D"/>
    <w:rsid w:val="009A324C"/>
    <w:rsid w:val="009A3B95"/>
    <w:rsid w:val="009C3EF8"/>
    <w:rsid w:val="009D0DF9"/>
    <w:rsid w:val="009D65B8"/>
    <w:rsid w:val="009E7AFD"/>
    <w:rsid w:val="009F3BE3"/>
    <w:rsid w:val="009F4208"/>
    <w:rsid w:val="00A02C42"/>
    <w:rsid w:val="00A06119"/>
    <w:rsid w:val="00A16C47"/>
    <w:rsid w:val="00A2302A"/>
    <w:rsid w:val="00A33CB6"/>
    <w:rsid w:val="00A352C9"/>
    <w:rsid w:val="00A47CC0"/>
    <w:rsid w:val="00A81979"/>
    <w:rsid w:val="00A949A8"/>
    <w:rsid w:val="00AA7C77"/>
    <w:rsid w:val="00AB1A38"/>
    <w:rsid w:val="00AB3203"/>
    <w:rsid w:val="00AC1338"/>
    <w:rsid w:val="00AC6B7E"/>
    <w:rsid w:val="00AE45D8"/>
    <w:rsid w:val="00AE77E6"/>
    <w:rsid w:val="00AF1658"/>
    <w:rsid w:val="00B06A48"/>
    <w:rsid w:val="00B1296F"/>
    <w:rsid w:val="00B22295"/>
    <w:rsid w:val="00B3177D"/>
    <w:rsid w:val="00B44C24"/>
    <w:rsid w:val="00B555FF"/>
    <w:rsid w:val="00B72C98"/>
    <w:rsid w:val="00B83A00"/>
    <w:rsid w:val="00B857E0"/>
    <w:rsid w:val="00BA4BC7"/>
    <w:rsid w:val="00BA7D9F"/>
    <w:rsid w:val="00BA7EE3"/>
    <w:rsid w:val="00BC773A"/>
    <w:rsid w:val="00BD04FC"/>
    <w:rsid w:val="00BD4B49"/>
    <w:rsid w:val="00C221D7"/>
    <w:rsid w:val="00C275E4"/>
    <w:rsid w:val="00C37904"/>
    <w:rsid w:val="00C53730"/>
    <w:rsid w:val="00C76560"/>
    <w:rsid w:val="00C77D60"/>
    <w:rsid w:val="00C9072A"/>
    <w:rsid w:val="00C90DC4"/>
    <w:rsid w:val="00C91107"/>
    <w:rsid w:val="00CA7D81"/>
    <w:rsid w:val="00CC0DB5"/>
    <w:rsid w:val="00CF3F5F"/>
    <w:rsid w:val="00D22132"/>
    <w:rsid w:val="00D34CC7"/>
    <w:rsid w:val="00D608E6"/>
    <w:rsid w:val="00D65306"/>
    <w:rsid w:val="00D9287E"/>
    <w:rsid w:val="00D96F4E"/>
    <w:rsid w:val="00DA3DB3"/>
    <w:rsid w:val="00DB5BB1"/>
    <w:rsid w:val="00DC62C1"/>
    <w:rsid w:val="00DF03A0"/>
    <w:rsid w:val="00DF7273"/>
    <w:rsid w:val="00E01652"/>
    <w:rsid w:val="00E208EE"/>
    <w:rsid w:val="00E46C12"/>
    <w:rsid w:val="00E66E5B"/>
    <w:rsid w:val="00E67028"/>
    <w:rsid w:val="00E87969"/>
    <w:rsid w:val="00E90BD3"/>
    <w:rsid w:val="00EA0709"/>
    <w:rsid w:val="00EB3A60"/>
    <w:rsid w:val="00EC355C"/>
    <w:rsid w:val="00ED6D2A"/>
    <w:rsid w:val="00F201B6"/>
    <w:rsid w:val="00F237D1"/>
    <w:rsid w:val="00F23DF8"/>
    <w:rsid w:val="00F55EBD"/>
    <w:rsid w:val="00F9720F"/>
    <w:rsid w:val="00FA2BFF"/>
    <w:rsid w:val="00FB0B89"/>
    <w:rsid w:val="00FB7ACC"/>
    <w:rsid w:val="00FC554A"/>
    <w:rsid w:val="00FF215F"/>
    <w:rsid w:val="00FF381B"/>
    <w:rsid w:val="00FF46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63729F2"/>
  <w15:docId w15:val="{F4E75D63-D710-4925-B98C-F776AE32D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58F9"/>
    <w:rPr>
      <w:sz w:val="24"/>
      <w:szCs w:val="24"/>
    </w:rPr>
  </w:style>
  <w:style w:type="paragraph" w:styleId="berschrift1">
    <w:name w:val="heading 1"/>
    <w:basedOn w:val="Standard"/>
    <w:next w:val="Standard"/>
    <w:link w:val="berschrift1Zchn"/>
    <w:qFormat/>
    <w:rsid w:val="009A1868"/>
    <w:pPr>
      <w:keepNext/>
      <w:spacing w:line="360" w:lineRule="auto"/>
      <w:jc w:val="both"/>
      <w:outlineLvl w:val="0"/>
    </w:pPr>
    <w:rPr>
      <w:rFonts w:ascii="Arial" w:hAnsi="Arial" w:cs="Arial"/>
      <w:i/>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locked/>
    <w:rsid w:val="009A1868"/>
    <w:rPr>
      <w:rFonts w:ascii="Arial" w:hAnsi="Arial" w:cs="Arial"/>
      <w:i/>
      <w:iCs/>
      <w:sz w:val="24"/>
      <w:szCs w:val="24"/>
      <w:lang w:val="en-GB" w:eastAsia="de-DE" w:bidi="ar-SA"/>
    </w:rPr>
  </w:style>
  <w:style w:type="paragraph" w:styleId="Kopfzeile">
    <w:name w:val="header"/>
    <w:basedOn w:val="Standard"/>
    <w:link w:val="KopfzeileZchn"/>
    <w:rsid w:val="009A1868"/>
    <w:pPr>
      <w:tabs>
        <w:tab w:val="center" w:pos="4536"/>
        <w:tab w:val="right" w:pos="9072"/>
      </w:tabs>
      <w:spacing w:line="360" w:lineRule="auto"/>
      <w:jc w:val="both"/>
    </w:pPr>
    <w:rPr>
      <w:rFonts w:ascii="Verdana" w:hAnsi="Verdana" w:cs="Verdana"/>
      <w:sz w:val="20"/>
      <w:szCs w:val="20"/>
    </w:rPr>
  </w:style>
  <w:style w:type="character" w:customStyle="1" w:styleId="KopfzeileZchn">
    <w:name w:val="Kopfzeile Zchn"/>
    <w:basedOn w:val="Absatz-Standardschriftart"/>
    <w:link w:val="Kopfzeile"/>
    <w:semiHidden/>
    <w:locked/>
    <w:rsid w:val="009A1868"/>
    <w:rPr>
      <w:rFonts w:ascii="Verdana" w:hAnsi="Verdana" w:cs="Verdana"/>
      <w:lang w:val="en-GB" w:eastAsia="de-DE" w:bidi="ar-SA"/>
    </w:rPr>
  </w:style>
  <w:style w:type="paragraph" w:styleId="Textkrper">
    <w:name w:val="Body Text"/>
    <w:basedOn w:val="Standard"/>
    <w:link w:val="TextkrperZchn"/>
    <w:rsid w:val="009A1868"/>
    <w:pPr>
      <w:spacing w:line="360" w:lineRule="auto"/>
      <w:jc w:val="both"/>
    </w:pPr>
    <w:rPr>
      <w:rFonts w:ascii="Verdana" w:hAnsi="Verdana" w:cs="Verdana"/>
      <w:b/>
      <w:bCs/>
      <w:sz w:val="30"/>
      <w:szCs w:val="30"/>
    </w:rPr>
  </w:style>
  <w:style w:type="character" w:customStyle="1" w:styleId="TextkrperZchn">
    <w:name w:val="Textkörper Zchn"/>
    <w:basedOn w:val="Absatz-Standardschriftart"/>
    <w:link w:val="Textkrper"/>
    <w:semiHidden/>
    <w:locked/>
    <w:rsid w:val="009A1868"/>
    <w:rPr>
      <w:rFonts w:ascii="Verdana" w:hAnsi="Verdana" w:cs="Verdana"/>
      <w:b/>
      <w:bCs/>
      <w:sz w:val="30"/>
      <w:szCs w:val="30"/>
      <w:lang w:val="en-GB" w:eastAsia="de-DE" w:bidi="ar-SA"/>
    </w:rPr>
  </w:style>
  <w:style w:type="paragraph" w:styleId="Sprechblasentext">
    <w:name w:val="Balloon Text"/>
    <w:basedOn w:val="Standard"/>
    <w:semiHidden/>
    <w:rsid w:val="000D0DAC"/>
    <w:rPr>
      <w:rFonts w:ascii="Tahoma" w:hAnsi="Tahoma" w:cs="Tahoma"/>
      <w:sz w:val="16"/>
      <w:szCs w:val="16"/>
    </w:rPr>
  </w:style>
  <w:style w:type="character" w:styleId="Kommentarzeichen">
    <w:name w:val="annotation reference"/>
    <w:basedOn w:val="Absatz-Standardschriftart"/>
    <w:rsid w:val="0082644A"/>
    <w:rPr>
      <w:sz w:val="16"/>
      <w:szCs w:val="16"/>
    </w:rPr>
  </w:style>
  <w:style w:type="paragraph" w:styleId="Kommentartext">
    <w:name w:val="annotation text"/>
    <w:basedOn w:val="Standard"/>
    <w:link w:val="KommentartextZchn"/>
    <w:rsid w:val="0082644A"/>
    <w:rPr>
      <w:sz w:val="20"/>
      <w:szCs w:val="20"/>
    </w:rPr>
  </w:style>
  <w:style w:type="character" w:customStyle="1" w:styleId="KommentartextZchn">
    <w:name w:val="Kommentartext Zchn"/>
    <w:basedOn w:val="Absatz-Standardschriftart"/>
    <w:link w:val="Kommentartext"/>
    <w:rsid w:val="0082644A"/>
  </w:style>
  <w:style w:type="paragraph" w:styleId="Kommentarthema">
    <w:name w:val="annotation subject"/>
    <w:basedOn w:val="Kommentartext"/>
    <w:next w:val="Kommentartext"/>
    <w:link w:val="KommentarthemaZchn"/>
    <w:rsid w:val="0082644A"/>
    <w:rPr>
      <w:b/>
      <w:bCs/>
    </w:rPr>
  </w:style>
  <w:style w:type="character" w:customStyle="1" w:styleId="KommentarthemaZchn">
    <w:name w:val="Kommentarthema Zchn"/>
    <w:basedOn w:val="KommentartextZchn"/>
    <w:link w:val="Kommentarthema"/>
    <w:rsid w:val="0082644A"/>
    <w:rPr>
      <w:b/>
      <w:bCs/>
    </w:rPr>
  </w:style>
  <w:style w:type="paragraph" w:styleId="Listenabsatz">
    <w:name w:val="List Paragraph"/>
    <w:basedOn w:val="Standard"/>
    <w:uiPriority w:val="34"/>
    <w:qFormat/>
    <w:rsid w:val="00E46C12"/>
    <w:pPr>
      <w:ind w:left="720"/>
      <w:contextualSpacing/>
    </w:pPr>
  </w:style>
  <w:style w:type="paragraph" w:styleId="Fuzeile">
    <w:name w:val="footer"/>
    <w:basedOn w:val="Standard"/>
    <w:link w:val="FuzeileZchn"/>
    <w:unhideWhenUsed/>
    <w:rsid w:val="00A949A8"/>
    <w:pPr>
      <w:tabs>
        <w:tab w:val="center" w:pos="4536"/>
        <w:tab w:val="right" w:pos="9072"/>
      </w:tabs>
    </w:pPr>
  </w:style>
  <w:style w:type="character" w:customStyle="1" w:styleId="FuzeileZchn">
    <w:name w:val="Fußzeile Zchn"/>
    <w:basedOn w:val="Absatz-Standardschriftart"/>
    <w:link w:val="Fuzeile"/>
    <w:rsid w:val="00A949A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6118437">
      <w:bodyDiv w:val="1"/>
      <w:marLeft w:val="0"/>
      <w:marRight w:val="0"/>
      <w:marTop w:val="0"/>
      <w:marBottom w:val="0"/>
      <w:divBdr>
        <w:top w:val="none" w:sz="0" w:space="0" w:color="auto"/>
        <w:left w:val="none" w:sz="0" w:space="0" w:color="auto"/>
        <w:bottom w:val="none" w:sz="0" w:space="0" w:color="auto"/>
        <w:right w:val="none" w:sz="0" w:space="0" w:color="auto"/>
      </w:divBdr>
      <w:divsChild>
        <w:div w:id="200359566">
          <w:marLeft w:val="446"/>
          <w:marRight w:val="0"/>
          <w:marTop w:val="274"/>
          <w:marBottom w:val="0"/>
          <w:divBdr>
            <w:top w:val="none" w:sz="0" w:space="0" w:color="auto"/>
            <w:left w:val="none" w:sz="0" w:space="0" w:color="auto"/>
            <w:bottom w:val="none" w:sz="0" w:space="0" w:color="auto"/>
            <w:right w:val="none" w:sz="0" w:space="0" w:color="auto"/>
          </w:divBdr>
        </w:div>
        <w:div w:id="1350718693">
          <w:marLeft w:val="446"/>
          <w:marRight w:val="0"/>
          <w:marTop w:val="274"/>
          <w:marBottom w:val="0"/>
          <w:divBdr>
            <w:top w:val="none" w:sz="0" w:space="0" w:color="auto"/>
            <w:left w:val="none" w:sz="0" w:space="0" w:color="auto"/>
            <w:bottom w:val="none" w:sz="0" w:space="0" w:color="auto"/>
            <w:right w:val="none" w:sz="0" w:space="0" w:color="auto"/>
          </w:divBdr>
        </w:div>
        <w:div w:id="315959638">
          <w:marLeft w:val="446"/>
          <w:marRight w:val="0"/>
          <w:marTop w:val="274"/>
          <w:marBottom w:val="0"/>
          <w:divBdr>
            <w:top w:val="none" w:sz="0" w:space="0" w:color="auto"/>
            <w:left w:val="none" w:sz="0" w:space="0" w:color="auto"/>
            <w:bottom w:val="none" w:sz="0" w:space="0" w:color="auto"/>
            <w:right w:val="none" w:sz="0" w:space="0" w:color="auto"/>
          </w:divBdr>
        </w:div>
        <w:div w:id="931159649">
          <w:marLeft w:val="446"/>
          <w:marRight w:val="0"/>
          <w:marTop w:val="274"/>
          <w:marBottom w:val="0"/>
          <w:divBdr>
            <w:top w:val="none" w:sz="0" w:space="0" w:color="auto"/>
            <w:left w:val="none" w:sz="0" w:space="0" w:color="auto"/>
            <w:bottom w:val="none" w:sz="0" w:space="0" w:color="auto"/>
            <w:right w:val="none" w:sz="0" w:space="0" w:color="auto"/>
          </w:divBdr>
        </w:div>
        <w:div w:id="388504026">
          <w:marLeft w:val="446"/>
          <w:marRight w:val="0"/>
          <w:marTop w:val="274"/>
          <w:marBottom w:val="0"/>
          <w:divBdr>
            <w:top w:val="none" w:sz="0" w:space="0" w:color="auto"/>
            <w:left w:val="none" w:sz="0" w:space="0" w:color="auto"/>
            <w:bottom w:val="none" w:sz="0" w:space="0" w:color="auto"/>
            <w:right w:val="none" w:sz="0" w:space="0" w:color="auto"/>
          </w:divBdr>
        </w:div>
      </w:divsChild>
    </w:div>
    <w:div w:id="1486779864">
      <w:bodyDiv w:val="1"/>
      <w:marLeft w:val="0"/>
      <w:marRight w:val="0"/>
      <w:marTop w:val="0"/>
      <w:marBottom w:val="0"/>
      <w:divBdr>
        <w:top w:val="none" w:sz="0" w:space="0" w:color="auto"/>
        <w:left w:val="none" w:sz="0" w:space="0" w:color="auto"/>
        <w:bottom w:val="none" w:sz="0" w:space="0" w:color="auto"/>
        <w:right w:val="none" w:sz="0" w:space="0" w:color="auto"/>
      </w:divBdr>
    </w:div>
    <w:div w:id="1604335707">
      <w:bodyDiv w:val="1"/>
      <w:marLeft w:val="0"/>
      <w:marRight w:val="0"/>
      <w:marTop w:val="0"/>
      <w:marBottom w:val="0"/>
      <w:divBdr>
        <w:top w:val="none" w:sz="0" w:space="0" w:color="auto"/>
        <w:left w:val="none" w:sz="0" w:space="0" w:color="auto"/>
        <w:bottom w:val="none" w:sz="0" w:space="0" w:color="auto"/>
        <w:right w:val="none" w:sz="0" w:space="0" w:color="auto"/>
      </w:divBdr>
      <w:divsChild>
        <w:div w:id="1024013995">
          <w:marLeft w:val="446"/>
          <w:marRight w:val="0"/>
          <w:marTop w:val="274"/>
          <w:marBottom w:val="0"/>
          <w:divBdr>
            <w:top w:val="none" w:sz="0" w:space="0" w:color="auto"/>
            <w:left w:val="none" w:sz="0" w:space="0" w:color="auto"/>
            <w:bottom w:val="none" w:sz="0" w:space="0" w:color="auto"/>
            <w:right w:val="none" w:sz="0" w:space="0" w:color="auto"/>
          </w:divBdr>
        </w:div>
      </w:divsChild>
    </w:div>
    <w:div w:id="1638874313">
      <w:bodyDiv w:val="1"/>
      <w:marLeft w:val="0"/>
      <w:marRight w:val="0"/>
      <w:marTop w:val="0"/>
      <w:marBottom w:val="0"/>
      <w:divBdr>
        <w:top w:val="none" w:sz="0" w:space="0" w:color="auto"/>
        <w:left w:val="none" w:sz="0" w:space="0" w:color="auto"/>
        <w:bottom w:val="none" w:sz="0" w:space="0" w:color="auto"/>
        <w:right w:val="none" w:sz="0" w:space="0" w:color="auto"/>
      </w:divBdr>
    </w:div>
    <w:div w:id="1676882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7CA135-B3F2-468B-9D32-7943F2F7B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7E12513-B031-41D7-9C0E-CD9D0CCD70C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F711870-D5E6-4ACB-BC72-041B29BC9595}">
  <ds:schemaRefs>
    <ds:schemaRef ds:uri="http://schemas.microsoft.com/sharepoint/v3/contenttype/forms"/>
  </ds:schemaRefs>
</ds:datastoreItem>
</file>

<file path=customXml/itemProps4.xml><?xml version="1.0" encoding="utf-8"?>
<ds:datastoreItem xmlns:ds="http://schemas.openxmlformats.org/officeDocument/2006/customXml" ds:itemID="{96AA745D-8DC0-4F69-9EB0-C3112554B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498</Words>
  <Characters>2832</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Bis zu 90 Prozent Stromkosten sparen</vt:lpstr>
    </vt:vector>
  </TitlesOfParts>
  <Company>KSB AG</Company>
  <LinksUpToDate>false</LinksUpToDate>
  <CharactersWithSpaces>3324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Saving up to 90 percent of electricity costs</dc:title>
  <dc:creator>Christoph Pauly</dc:creator>
  <cp:lastModifiedBy>Pauly, Christoph</cp:lastModifiedBy>
  <cp:revision>6</cp:revision>
  <cp:lastPrinted>2013-03-04T12:46:00Z</cp:lastPrinted>
  <dcterms:created xsi:type="dcterms:W3CDTF">2025-01-16T13:09:00Z</dcterms:created>
  <dcterms:modified xsi:type="dcterms:W3CDTF">2025-01-16T15:22:00Z</dcterms:modified>
</cp:coreProperties>
</file>