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DEA3C3" w14:textId="693D46FB" w:rsidR="00D45272" w:rsidRDefault="00D45272" w:rsidP="00D45272">
      <w:pPr>
        <w:jc w:val="both"/>
        <w:rPr>
          <w:sz w:val="24"/>
          <w:szCs w:val="24"/>
        </w:rPr>
      </w:pPr>
      <w:r>
        <w:rPr>
          <w:sz w:val="24"/>
          <w:szCs w:val="24"/>
        </w:rPr>
        <w:t>Frankenthal, 13.02.2024</w:t>
      </w:r>
    </w:p>
    <w:p w14:paraId="6ED8EE89" w14:textId="77777777" w:rsidR="00D45272" w:rsidRDefault="00D45272" w:rsidP="00D45272">
      <w:pPr>
        <w:jc w:val="both"/>
        <w:rPr>
          <w:sz w:val="24"/>
          <w:szCs w:val="24"/>
        </w:rPr>
      </w:pPr>
      <w:bookmarkStart w:id="0" w:name="_GoBack"/>
      <w:bookmarkEnd w:id="0"/>
    </w:p>
    <w:p w14:paraId="014C0EF5" w14:textId="77777777" w:rsidR="00757933" w:rsidRDefault="00757933" w:rsidP="00757933">
      <w:pPr>
        <w:jc w:val="both"/>
        <w:rPr>
          <w:b/>
          <w:sz w:val="24"/>
          <w:szCs w:val="24"/>
        </w:rPr>
      </w:pPr>
      <w:r>
        <w:rPr>
          <w:b/>
          <w:sz w:val="24"/>
          <w:szCs w:val="24"/>
        </w:rPr>
        <w:t xml:space="preserve">Programm an Hochleistungswasserpumpen erweitert </w:t>
      </w:r>
    </w:p>
    <w:p w14:paraId="70B47065" w14:textId="77777777" w:rsidR="00D30C25" w:rsidRDefault="00D30C25" w:rsidP="00D30C25">
      <w:pPr>
        <w:jc w:val="both"/>
        <w:rPr>
          <w:sz w:val="24"/>
          <w:szCs w:val="24"/>
        </w:rPr>
      </w:pPr>
    </w:p>
    <w:p w14:paraId="44DFCE73" w14:textId="59820E0A" w:rsidR="00D30C25" w:rsidRDefault="00757933" w:rsidP="00D30C25">
      <w:pPr>
        <w:jc w:val="both"/>
        <w:rPr>
          <w:sz w:val="24"/>
          <w:szCs w:val="24"/>
        </w:rPr>
      </w:pPr>
      <w:r>
        <w:rPr>
          <w:sz w:val="24"/>
          <w:szCs w:val="24"/>
        </w:rPr>
        <w:t xml:space="preserve">Mit der zunehmenden Größe von Wassertransportsystemen in den vergangenen Jahren sind auch die benötigten Volumenströme und damit die erforderlichen Pumpengrößen stetig angewachsen. </w:t>
      </w:r>
      <w:r w:rsidR="00D30C25">
        <w:rPr>
          <w:sz w:val="24"/>
          <w:szCs w:val="24"/>
        </w:rPr>
        <w:t>Um dieser Entwicklung Rechnung zu tragen, hat die KSB-Gruppe die Baureihe RDLO von 21 Baugrößen auf 33 erweitert.</w:t>
      </w:r>
    </w:p>
    <w:p w14:paraId="1B395FDC" w14:textId="6372C441" w:rsidR="00757933" w:rsidRDefault="00757933" w:rsidP="00757933">
      <w:pPr>
        <w:jc w:val="both"/>
        <w:rPr>
          <w:sz w:val="24"/>
          <w:szCs w:val="24"/>
        </w:rPr>
      </w:pPr>
    </w:p>
    <w:p w14:paraId="0BD810FE" w14:textId="7136EEA5" w:rsidR="00757933" w:rsidRDefault="00757933" w:rsidP="00757933">
      <w:pPr>
        <w:jc w:val="both"/>
        <w:rPr>
          <w:sz w:val="24"/>
          <w:szCs w:val="24"/>
        </w:rPr>
      </w:pPr>
      <w:r>
        <w:rPr>
          <w:sz w:val="24"/>
          <w:szCs w:val="24"/>
        </w:rPr>
        <w:t xml:space="preserve">Bei diesen Aggregaten handelt es sich um längs geteilte Spiralgehäusepumpen, deren Haupteinsatzgebiet der Transport von sauberem Wasser ist. Diese Baureihe wird vor allem aufgrund ihrer extremen Langlebigkeit in Pumpstationen auf der ganzen Welt eingesetzt. Erreicht werden die hohen Standzeiten durch ein Gehäuse mit Doppelspirale, welches die Radialkräfte kompensiert und einem </w:t>
      </w:r>
      <w:proofErr w:type="spellStart"/>
      <w:r>
        <w:rPr>
          <w:sz w:val="24"/>
          <w:szCs w:val="24"/>
        </w:rPr>
        <w:t>doppelflutigen</w:t>
      </w:r>
      <w:proofErr w:type="spellEnd"/>
      <w:r>
        <w:rPr>
          <w:sz w:val="24"/>
          <w:szCs w:val="24"/>
        </w:rPr>
        <w:t xml:space="preserve"> Laufrad, das die Axialkräfte ausgleicht. So werden die großzügig dimensionierten Wälzlager nur minimal belastet. </w:t>
      </w:r>
      <w:r w:rsidR="009D2595">
        <w:rPr>
          <w:sz w:val="24"/>
          <w:szCs w:val="24"/>
        </w:rPr>
        <w:t>Hohe Wirkungsgrade garantieren niedrige Energiekosten</w:t>
      </w:r>
      <w:r w:rsidR="000D3AE7">
        <w:rPr>
          <w:sz w:val="24"/>
          <w:szCs w:val="24"/>
        </w:rPr>
        <w:t xml:space="preserve"> über die gesamte Laufzeit.</w:t>
      </w:r>
    </w:p>
    <w:p w14:paraId="626FAC6E" w14:textId="77777777" w:rsidR="003349ED" w:rsidRDefault="003349ED" w:rsidP="00757933">
      <w:pPr>
        <w:jc w:val="both"/>
        <w:rPr>
          <w:sz w:val="24"/>
          <w:szCs w:val="24"/>
        </w:rPr>
      </w:pPr>
    </w:p>
    <w:p w14:paraId="33F9DD24" w14:textId="5A3AAEBF" w:rsidR="00757933" w:rsidRDefault="00757933" w:rsidP="00757933">
      <w:pPr>
        <w:jc w:val="both"/>
        <w:rPr>
          <w:sz w:val="24"/>
          <w:szCs w:val="24"/>
        </w:rPr>
      </w:pPr>
      <w:r>
        <w:rPr>
          <w:sz w:val="24"/>
          <w:szCs w:val="24"/>
        </w:rPr>
        <w:t>Die mit dem Gehäuseoberteil verschraubten massiven Lagerträger und die biegesteife Welle sorgen für einen vibrationsarmen Lauf. Die Belastungen für Wälzlager und Gleitringdichtungen sowie die Kupplung zum Antrieb</w:t>
      </w:r>
      <w:r w:rsidR="007E06A5">
        <w:rPr>
          <w:sz w:val="24"/>
          <w:szCs w:val="24"/>
        </w:rPr>
        <w:t>s</w:t>
      </w:r>
      <w:r>
        <w:rPr>
          <w:sz w:val="24"/>
          <w:szCs w:val="24"/>
        </w:rPr>
        <w:t xml:space="preserve">motor werden somit deutlich reduziert. Servicefreundlichkeit spielte bei der Konstruktion der Baureihe eine wichtige Rolle. Mit einem selbstzentrierenden Gehäuseoberteil und einem federvorgespannten Rotor ist sowohl die Montage des Deckels als auch des Rotors ohne weitere Einstellarbeiten möglich. </w:t>
      </w:r>
    </w:p>
    <w:p w14:paraId="13A57F9A" w14:textId="77777777" w:rsidR="00757933" w:rsidRDefault="00757933" w:rsidP="00757933">
      <w:pPr>
        <w:rPr>
          <w:sz w:val="24"/>
          <w:szCs w:val="24"/>
        </w:rPr>
      </w:pPr>
    </w:p>
    <w:p w14:paraId="2732B4AF" w14:textId="7C34935A" w:rsidR="00757933" w:rsidRDefault="00757933" w:rsidP="00757933">
      <w:pPr>
        <w:jc w:val="both"/>
        <w:rPr>
          <w:sz w:val="24"/>
          <w:szCs w:val="24"/>
        </w:rPr>
      </w:pPr>
      <w:r>
        <w:rPr>
          <w:sz w:val="24"/>
          <w:szCs w:val="24"/>
        </w:rPr>
        <w:t xml:space="preserve">Mit der Baureihenerweiterung lassen sich jetzt Fördermengen von bis zu 20.000 m³ in der Stunde und Förderhöhen bis zu 300 m realisieren. Da die RDLO auch Seewasser transportieren kann, kommen neben den standardmäßig eingesetzten Werkstoffen Grauguss und </w:t>
      </w:r>
      <w:r w:rsidR="003349ED">
        <w:rPr>
          <w:sz w:val="24"/>
          <w:szCs w:val="24"/>
        </w:rPr>
        <w:t>Sphäroguss auch</w:t>
      </w:r>
      <w:r w:rsidR="009D2595">
        <w:rPr>
          <w:sz w:val="24"/>
          <w:szCs w:val="24"/>
        </w:rPr>
        <w:t xml:space="preserve"> </w:t>
      </w:r>
      <w:r>
        <w:rPr>
          <w:sz w:val="24"/>
          <w:szCs w:val="24"/>
        </w:rPr>
        <w:t>Duplexstähle zum Einsatz.</w:t>
      </w:r>
    </w:p>
    <w:p w14:paraId="5F4A7098" w14:textId="77777777" w:rsidR="00757933" w:rsidRDefault="00757933" w:rsidP="00757933">
      <w:pPr>
        <w:jc w:val="both"/>
        <w:rPr>
          <w:sz w:val="24"/>
          <w:szCs w:val="24"/>
        </w:rPr>
      </w:pPr>
    </w:p>
    <w:p w14:paraId="1829DE39" w14:textId="123F9ED9" w:rsidR="00757933" w:rsidRDefault="00757933" w:rsidP="00757933">
      <w:pPr>
        <w:jc w:val="both"/>
        <w:rPr>
          <w:sz w:val="24"/>
          <w:szCs w:val="24"/>
        </w:rPr>
      </w:pPr>
      <w:r>
        <w:rPr>
          <w:sz w:val="24"/>
          <w:szCs w:val="24"/>
        </w:rPr>
        <w:t>Illustration: Mit zwölf neuen Baugrößen wurde die Baureihe RDLO dem Trend nach immer größeren Pumpen für den Wassertransport folgend deutlich erweitert.</w:t>
      </w:r>
      <w:r w:rsidR="001E7776">
        <w:rPr>
          <w:sz w:val="24"/>
          <w:szCs w:val="24"/>
        </w:rPr>
        <w:t xml:space="preserve"> </w:t>
      </w:r>
      <w:r>
        <w:rPr>
          <w:sz w:val="24"/>
          <w:szCs w:val="24"/>
        </w:rPr>
        <w:t>(</w:t>
      </w:r>
      <w:r>
        <w:rPr>
          <w:rFonts w:cs="Arial"/>
          <w:sz w:val="24"/>
          <w:szCs w:val="24"/>
        </w:rPr>
        <w:t xml:space="preserve">© </w:t>
      </w:r>
      <w:r>
        <w:rPr>
          <w:sz w:val="24"/>
          <w:szCs w:val="24"/>
        </w:rPr>
        <w:t>KSB SE &amp; Co. KGaA, Frankenthal)</w:t>
      </w:r>
    </w:p>
    <w:p w14:paraId="193EE3A9" w14:textId="77777777" w:rsidR="00757933" w:rsidRDefault="00757933" w:rsidP="00757933">
      <w:pPr>
        <w:jc w:val="both"/>
        <w:rPr>
          <w:sz w:val="24"/>
          <w:szCs w:val="24"/>
        </w:rPr>
      </w:pPr>
    </w:p>
    <w:p w14:paraId="169A7BFB" w14:textId="762D40C9" w:rsidR="006B5BF4" w:rsidRPr="00757933" w:rsidRDefault="001E7776" w:rsidP="00757933">
      <w:r>
        <w:rPr>
          <w:noProof/>
        </w:rPr>
        <w:drawing>
          <wp:inline distT="0" distB="0" distL="0" distR="0" wp14:anchorId="411B5183" wp14:editId="388111C0">
            <wp:extent cx="2056737" cy="2019300"/>
            <wp:effectExtent l="0" t="0" r="127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068423" cy="2030774"/>
                    </a:xfrm>
                    <a:prstGeom prst="rect">
                      <a:avLst/>
                    </a:prstGeom>
                  </pic:spPr>
                </pic:pic>
              </a:graphicData>
            </a:graphic>
          </wp:inline>
        </w:drawing>
      </w:r>
    </w:p>
    <w:sectPr w:rsidR="006B5BF4" w:rsidRPr="00757933" w:rsidSect="00421BB8">
      <w:headerReference w:type="default" r:id="rId11"/>
      <w:headerReference w:type="first" r:id="rId12"/>
      <w:pgSz w:w="11907" w:h="16840"/>
      <w:pgMar w:top="1560" w:right="2693" w:bottom="709" w:left="2127" w:header="851"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517884" w14:textId="77777777" w:rsidR="00FC73AA" w:rsidRDefault="00FC73AA" w:rsidP="00803867">
      <w:r>
        <w:separator/>
      </w:r>
    </w:p>
  </w:endnote>
  <w:endnote w:type="continuationSeparator" w:id="0">
    <w:p w14:paraId="7CAE5911" w14:textId="77777777" w:rsidR="00FC73AA" w:rsidRDefault="00FC73AA" w:rsidP="008038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DE7AC" w14:textId="77777777" w:rsidR="00FC73AA" w:rsidRDefault="00FC73AA" w:rsidP="00803867">
      <w:r>
        <w:separator/>
      </w:r>
    </w:p>
  </w:footnote>
  <w:footnote w:type="continuationSeparator" w:id="0">
    <w:p w14:paraId="286D85A1" w14:textId="77777777" w:rsidR="00FC73AA" w:rsidRDefault="00FC73AA" w:rsidP="008038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46C85" w14:textId="77777777" w:rsidR="001C7D92" w:rsidRDefault="001C7D92" w:rsidP="00230AB7">
    <w:pPr>
      <w:pStyle w:val="Kopfzeile"/>
      <w:rPr>
        <w:rFonts w:ascii="CG Times" w:hAnsi="CG Time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26761" w14:textId="77777777" w:rsidR="001C7D92" w:rsidRDefault="001C7D92">
    <w:pPr>
      <w:pStyle w:val="Kopfzeile"/>
      <w:tabs>
        <w:tab w:val="left" w:pos="6237"/>
      </w:tabs>
      <w:rPr>
        <w:b/>
      </w:rPr>
    </w:pPr>
    <w:r>
      <w:rPr>
        <w:b/>
      </w:rPr>
      <w:tab/>
      <w:t>Diese Pressemitteilung</w:t>
    </w:r>
  </w:p>
  <w:p w14:paraId="0694D606" w14:textId="77777777" w:rsidR="001C7D92" w:rsidRDefault="001C7D92">
    <w:pPr>
      <w:pStyle w:val="Kopfzeile"/>
      <w:tabs>
        <w:tab w:val="left" w:pos="6237"/>
      </w:tabs>
      <w:rPr>
        <w:b/>
      </w:rPr>
    </w:pPr>
    <w:r>
      <w:t>http://www.ksb.de</w:t>
    </w:r>
    <w:r>
      <w:rPr>
        <w:b/>
      </w:rPr>
      <w:tab/>
      <w:t xml:space="preserve">Seite </w:t>
    </w:r>
    <w:r>
      <w:rPr>
        <w:rStyle w:val="Seitenzahl"/>
      </w:rPr>
      <w:fldChar w:fldCharType="begin"/>
    </w:r>
    <w:r>
      <w:rPr>
        <w:rStyle w:val="Seitenzahl"/>
      </w:rPr>
      <w:instrText xml:space="preserve"> PAGE </w:instrText>
    </w:r>
    <w:r>
      <w:rPr>
        <w:rStyle w:val="Seitenzahl"/>
      </w:rPr>
      <w:fldChar w:fldCharType="separate"/>
    </w:r>
    <w:r>
      <w:rPr>
        <w:rStyle w:val="Seitenzahl"/>
      </w:rPr>
      <w:t>1</w:t>
    </w:r>
    <w:r>
      <w:rPr>
        <w:rStyle w:val="Seitenzahl"/>
      </w:rPr>
      <w:fldChar w:fldCharType="end"/>
    </w:r>
    <w:r>
      <w:rPr>
        <w:rStyle w:val="Seitenzahl"/>
      </w:rPr>
      <w:t xml:space="preserve"> von </w:t>
    </w:r>
    <w:r w:rsidR="00D45272">
      <w:fldChar w:fldCharType="begin"/>
    </w:r>
    <w:r w:rsidR="00D45272">
      <w:instrText xml:space="preserve"> NUMPAGES  \* MERGEFORMAT </w:instrText>
    </w:r>
    <w:r w:rsidR="00D45272">
      <w:fldChar w:fldCharType="separate"/>
    </w:r>
    <w:r w:rsidR="00F21993" w:rsidRPr="00F21993">
      <w:rPr>
        <w:rStyle w:val="Seitenzahl"/>
        <w:noProof/>
      </w:rPr>
      <w:t>1</w:t>
    </w:r>
    <w:r w:rsidR="00D45272">
      <w:rPr>
        <w:rStyle w:val="Seitenzahl"/>
        <w:noProof/>
      </w:rPr>
      <w:fldChar w:fldCharType="end"/>
    </w:r>
  </w:p>
  <w:p w14:paraId="16E3593B" w14:textId="33387862" w:rsidR="001C7D92" w:rsidRDefault="001C7D92">
    <w:pPr>
      <w:pStyle w:val="Kopfzeile"/>
      <w:tabs>
        <w:tab w:val="left" w:pos="6237"/>
      </w:tabs>
      <w:rPr>
        <w:b/>
      </w:rPr>
    </w:pPr>
    <w:r>
      <w:rPr>
        <w:b/>
      </w:rPr>
      <w:tab/>
    </w:r>
    <w:r>
      <w:rPr>
        <w:b/>
      </w:rPr>
      <w:fldChar w:fldCharType="begin"/>
    </w:r>
    <w:r>
      <w:rPr>
        <w:b/>
      </w:rPr>
      <w:instrText>DATE \@ "d. MMMM yyyy"</w:instrText>
    </w:r>
    <w:r>
      <w:rPr>
        <w:b/>
      </w:rPr>
      <w:fldChar w:fldCharType="separate"/>
    </w:r>
    <w:r w:rsidR="00D45272">
      <w:rPr>
        <w:b/>
        <w:noProof/>
      </w:rPr>
      <w:t>13. Februar 2024</w:t>
    </w:r>
    <w:r>
      <w:rPr>
        <w:b/>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B031528-429B-46B5-B68E-C909566B5E93}"/>
    <w:docVar w:name="dgnword-eventsink" w:val="473200328"/>
  </w:docVars>
  <w:rsids>
    <w:rsidRoot w:val="001520EE"/>
    <w:rsid w:val="00034D85"/>
    <w:rsid w:val="00052EE6"/>
    <w:rsid w:val="0008075E"/>
    <w:rsid w:val="00081AAE"/>
    <w:rsid w:val="00082B2C"/>
    <w:rsid w:val="000C795C"/>
    <w:rsid w:val="000D19C0"/>
    <w:rsid w:val="000D3AE7"/>
    <w:rsid w:val="000F6E6C"/>
    <w:rsid w:val="00107EA2"/>
    <w:rsid w:val="0011744E"/>
    <w:rsid w:val="00133F1F"/>
    <w:rsid w:val="001520EE"/>
    <w:rsid w:val="00173E36"/>
    <w:rsid w:val="001845F5"/>
    <w:rsid w:val="00186212"/>
    <w:rsid w:val="001C54C5"/>
    <w:rsid w:val="001C7D92"/>
    <w:rsid w:val="001D2648"/>
    <w:rsid w:val="001E7776"/>
    <w:rsid w:val="00205A23"/>
    <w:rsid w:val="00212549"/>
    <w:rsid w:val="00230AB7"/>
    <w:rsid w:val="00237226"/>
    <w:rsid w:val="00240989"/>
    <w:rsid w:val="00244A0C"/>
    <w:rsid w:val="0028265B"/>
    <w:rsid w:val="002A057C"/>
    <w:rsid w:val="002B1082"/>
    <w:rsid w:val="002C55AF"/>
    <w:rsid w:val="002E5166"/>
    <w:rsid w:val="002F65B7"/>
    <w:rsid w:val="00306315"/>
    <w:rsid w:val="00307739"/>
    <w:rsid w:val="0032199A"/>
    <w:rsid w:val="003349ED"/>
    <w:rsid w:val="00344C7A"/>
    <w:rsid w:val="00351EEE"/>
    <w:rsid w:val="00367CC7"/>
    <w:rsid w:val="00371C8C"/>
    <w:rsid w:val="003910BE"/>
    <w:rsid w:val="00391FEC"/>
    <w:rsid w:val="003B6340"/>
    <w:rsid w:val="003E01BC"/>
    <w:rsid w:val="003F1C71"/>
    <w:rsid w:val="00400C8E"/>
    <w:rsid w:val="0040413F"/>
    <w:rsid w:val="00407DE5"/>
    <w:rsid w:val="00421BB8"/>
    <w:rsid w:val="00441947"/>
    <w:rsid w:val="00454A63"/>
    <w:rsid w:val="004562E4"/>
    <w:rsid w:val="00457DAB"/>
    <w:rsid w:val="00480E3E"/>
    <w:rsid w:val="004B6F45"/>
    <w:rsid w:val="005622D8"/>
    <w:rsid w:val="005714A9"/>
    <w:rsid w:val="00580E11"/>
    <w:rsid w:val="0059373C"/>
    <w:rsid w:val="005A6577"/>
    <w:rsid w:val="005A76B0"/>
    <w:rsid w:val="005E746B"/>
    <w:rsid w:val="00603697"/>
    <w:rsid w:val="0062347C"/>
    <w:rsid w:val="00676850"/>
    <w:rsid w:val="006847EB"/>
    <w:rsid w:val="006A65E5"/>
    <w:rsid w:val="006B5BF4"/>
    <w:rsid w:val="006C36DA"/>
    <w:rsid w:val="006E4488"/>
    <w:rsid w:val="006F15A0"/>
    <w:rsid w:val="00726202"/>
    <w:rsid w:val="00757933"/>
    <w:rsid w:val="00772E23"/>
    <w:rsid w:val="00796B27"/>
    <w:rsid w:val="007A36C0"/>
    <w:rsid w:val="007B277A"/>
    <w:rsid w:val="007D33B4"/>
    <w:rsid w:val="007E06A5"/>
    <w:rsid w:val="00803867"/>
    <w:rsid w:val="00845A42"/>
    <w:rsid w:val="00852732"/>
    <w:rsid w:val="008A1702"/>
    <w:rsid w:val="008B5B7F"/>
    <w:rsid w:val="008C05A9"/>
    <w:rsid w:val="008D5C4D"/>
    <w:rsid w:val="008F502C"/>
    <w:rsid w:val="00904A47"/>
    <w:rsid w:val="009149A4"/>
    <w:rsid w:val="00923843"/>
    <w:rsid w:val="0092546A"/>
    <w:rsid w:val="00936563"/>
    <w:rsid w:val="00951FF8"/>
    <w:rsid w:val="00962B45"/>
    <w:rsid w:val="00967BB5"/>
    <w:rsid w:val="009A35B3"/>
    <w:rsid w:val="009B7462"/>
    <w:rsid w:val="009D2595"/>
    <w:rsid w:val="009E6620"/>
    <w:rsid w:val="00A07AFF"/>
    <w:rsid w:val="00A07EE6"/>
    <w:rsid w:val="00A522CF"/>
    <w:rsid w:val="00A76C3E"/>
    <w:rsid w:val="00A850DE"/>
    <w:rsid w:val="00A87029"/>
    <w:rsid w:val="00A9172B"/>
    <w:rsid w:val="00AA5241"/>
    <w:rsid w:val="00AB21C8"/>
    <w:rsid w:val="00AB2617"/>
    <w:rsid w:val="00AF29F0"/>
    <w:rsid w:val="00AF3E05"/>
    <w:rsid w:val="00B22E34"/>
    <w:rsid w:val="00B66923"/>
    <w:rsid w:val="00B74B38"/>
    <w:rsid w:val="00B76179"/>
    <w:rsid w:val="00BA3A63"/>
    <w:rsid w:val="00BF16A6"/>
    <w:rsid w:val="00C14652"/>
    <w:rsid w:val="00C36D17"/>
    <w:rsid w:val="00C6243D"/>
    <w:rsid w:val="00C63B86"/>
    <w:rsid w:val="00C65C2F"/>
    <w:rsid w:val="00C70B0B"/>
    <w:rsid w:val="00C731D2"/>
    <w:rsid w:val="00C75597"/>
    <w:rsid w:val="00CC3FB0"/>
    <w:rsid w:val="00CC65B2"/>
    <w:rsid w:val="00CD1154"/>
    <w:rsid w:val="00CD3EA3"/>
    <w:rsid w:val="00CE1C25"/>
    <w:rsid w:val="00CF40C8"/>
    <w:rsid w:val="00D130A7"/>
    <w:rsid w:val="00D1722B"/>
    <w:rsid w:val="00D30C25"/>
    <w:rsid w:val="00D31A14"/>
    <w:rsid w:val="00D31EDA"/>
    <w:rsid w:val="00D45272"/>
    <w:rsid w:val="00D61A08"/>
    <w:rsid w:val="00D67EAD"/>
    <w:rsid w:val="00D74BE9"/>
    <w:rsid w:val="00D8698A"/>
    <w:rsid w:val="00DA13EC"/>
    <w:rsid w:val="00DB568A"/>
    <w:rsid w:val="00E07FD1"/>
    <w:rsid w:val="00E11193"/>
    <w:rsid w:val="00E34721"/>
    <w:rsid w:val="00E34C89"/>
    <w:rsid w:val="00E36D79"/>
    <w:rsid w:val="00EA67D0"/>
    <w:rsid w:val="00EC0F89"/>
    <w:rsid w:val="00EC2FBF"/>
    <w:rsid w:val="00EC6420"/>
    <w:rsid w:val="00F21246"/>
    <w:rsid w:val="00F21993"/>
    <w:rsid w:val="00F25E15"/>
    <w:rsid w:val="00F632B8"/>
    <w:rsid w:val="00F87449"/>
    <w:rsid w:val="00F91F59"/>
    <w:rsid w:val="00FC73AA"/>
    <w:rsid w:val="00FD1054"/>
    <w:rsid w:val="00FF3DE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EC6F893"/>
  <w15:docId w15:val="{A1DC9884-340F-428C-AE04-1FC1AAD19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520EE"/>
    <w:pPr>
      <w:spacing w:after="0" w:line="240" w:lineRule="auto"/>
    </w:pPr>
    <w:rPr>
      <w:rFonts w:ascii="Arial" w:eastAsia="Times New Roman" w:hAnsi="Arial" w:cs="Times New Roman"/>
      <w:sz w:val="20"/>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semiHidden/>
    <w:rsid w:val="001520EE"/>
    <w:pPr>
      <w:tabs>
        <w:tab w:val="center" w:pos="4819"/>
        <w:tab w:val="right" w:pos="9071"/>
      </w:tabs>
    </w:pPr>
  </w:style>
  <w:style w:type="character" w:customStyle="1" w:styleId="KopfzeileZchn">
    <w:name w:val="Kopfzeile Zchn"/>
    <w:basedOn w:val="Absatz-Standardschriftart"/>
    <w:link w:val="Kopfzeile"/>
    <w:semiHidden/>
    <w:rsid w:val="001520EE"/>
    <w:rPr>
      <w:rFonts w:ascii="Arial" w:eastAsia="Times New Roman" w:hAnsi="Arial" w:cs="Times New Roman"/>
      <w:sz w:val="20"/>
      <w:szCs w:val="20"/>
      <w:lang w:eastAsia="de-DE"/>
    </w:rPr>
  </w:style>
  <w:style w:type="character" w:styleId="Seitenzahl">
    <w:name w:val="page number"/>
    <w:basedOn w:val="Absatz-Standardschriftart"/>
    <w:semiHidden/>
    <w:rsid w:val="001520EE"/>
  </w:style>
  <w:style w:type="paragraph" w:styleId="Sprechblasentext">
    <w:name w:val="Balloon Text"/>
    <w:basedOn w:val="Standard"/>
    <w:link w:val="SprechblasentextZchn"/>
    <w:uiPriority w:val="99"/>
    <w:semiHidden/>
    <w:unhideWhenUsed/>
    <w:rsid w:val="001520E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520EE"/>
    <w:rPr>
      <w:rFonts w:ascii="Tahoma" w:eastAsia="Times New Roman" w:hAnsi="Tahoma" w:cs="Tahoma"/>
      <w:sz w:val="16"/>
      <w:szCs w:val="16"/>
      <w:lang w:eastAsia="de-DE"/>
    </w:rPr>
  </w:style>
  <w:style w:type="paragraph" w:styleId="Fuzeile">
    <w:name w:val="footer"/>
    <w:basedOn w:val="Standard"/>
    <w:link w:val="FuzeileZchn"/>
    <w:uiPriority w:val="99"/>
    <w:unhideWhenUsed/>
    <w:rsid w:val="00803867"/>
    <w:pPr>
      <w:tabs>
        <w:tab w:val="center" w:pos="4513"/>
        <w:tab w:val="right" w:pos="9026"/>
      </w:tabs>
    </w:pPr>
  </w:style>
  <w:style w:type="character" w:customStyle="1" w:styleId="FuzeileZchn">
    <w:name w:val="Fußzeile Zchn"/>
    <w:basedOn w:val="Absatz-Standardschriftart"/>
    <w:link w:val="Fuzeile"/>
    <w:uiPriority w:val="99"/>
    <w:rsid w:val="00803867"/>
    <w:rPr>
      <w:rFonts w:ascii="Arial" w:eastAsia="Times New Roman" w:hAnsi="Arial" w:cs="Times New Roman"/>
      <w:sz w:val="20"/>
      <w:szCs w:val="20"/>
      <w:lang w:eastAsia="de-DE"/>
    </w:rPr>
  </w:style>
  <w:style w:type="character" w:styleId="Kommentarzeichen">
    <w:name w:val="annotation reference"/>
    <w:basedOn w:val="Absatz-Standardschriftart"/>
    <w:uiPriority w:val="99"/>
    <w:semiHidden/>
    <w:unhideWhenUsed/>
    <w:rsid w:val="00A87029"/>
    <w:rPr>
      <w:sz w:val="16"/>
      <w:szCs w:val="16"/>
    </w:rPr>
  </w:style>
  <w:style w:type="paragraph" w:styleId="Kommentartext">
    <w:name w:val="annotation text"/>
    <w:basedOn w:val="Standard"/>
    <w:link w:val="KommentartextZchn"/>
    <w:uiPriority w:val="99"/>
    <w:semiHidden/>
    <w:unhideWhenUsed/>
    <w:rsid w:val="00A87029"/>
  </w:style>
  <w:style w:type="character" w:customStyle="1" w:styleId="KommentartextZchn">
    <w:name w:val="Kommentartext Zchn"/>
    <w:basedOn w:val="Absatz-Standardschriftart"/>
    <w:link w:val="Kommentartext"/>
    <w:uiPriority w:val="99"/>
    <w:semiHidden/>
    <w:rsid w:val="00A87029"/>
    <w:rPr>
      <w:rFonts w:ascii="Arial" w:eastAsia="Times New Roman" w:hAnsi="Arial"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A87029"/>
    <w:rPr>
      <w:b/>
      <w:bCs/>
    </w:rPr>
  </w:style>
  <w:style w:type="character" w:customStyle="1" w:styleId="KommentarthemaZchn">
    <w:name w:val="Kommentarthema Zchn"/>
    <w:basedOn w:val="KommentartextZchn"/>
    <w:link w:val="Kommentarthema"/>
    <w:uiPriority w:val="99"/>
    <w:semiHidden/>
    <w:rsid w:val="00A87029"/>
    <w:rPr>
      <w:rFonts w:ascii="Arial" w:eastAsia="Times New Roman" w:hAnsi="Arial" w:cs="Times New Roman"/>
      <w:b/>
      <w:bCs/>
      <w:sz w:val="20"/>
      <w:szCs w:val="20"/>
      <w:lang w:eastAsia="de-DE"/>
    </w:rPr>
  </w:style>
  <w:style w:type="paragraph" w:styleId="berarbeitung">
    <w:name w:val="Revision"/>
    <w:hidden/>
    <w:uiPriority w:val="99"/>
    <w:semiHidden/>
    <w:rsid w:val="009D2595"/>
    <w:pPr>
      <w:spacing w:after="0" w:line="240" w:lineRule="auto"/>
    </w:pPr>
    <w:rPr>
      <w:rFonts w:ascii="Arial" w:eastAsia="Times New Roman" w:hAnsi="Arial" w:cs="Times New Roman"/>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8515753">
      <w:bodyDiv w:val="1"/>
      <w:marLeft w:val="0"/>
      <w:marRight w:val="0"/>
      <w:marTop w:val="0"/>
      <w:marBottom w:val="0"/>
      <w:divBdr>
        <w:top w:val="none" w:sz="0" w:space="0" w:color="auto"/>
        <w:left w:val="none" w:sz="0" w:space="0" w:color="auto"/>
        <w:bottom w:val="none" w:sz="0" w:space="0" w:color="auto"/>
        <w:right w:val="none" w:sz="0" w:space="0" w:color="auto"/>
      </w:divBdr>
    </w:div>
    <w:div w:id="1003120004">
      <w:bodyDiv w:val="1"/>
      <w:marLeft w:val="0"/>
      <w:marRight w:val="0"/>
      <w:marTop w:val="0"/>
      <w:marBottom w:val="0"/>
      <w:divBdr>
        <w:top w:val="none" w:sz="0" w:space="0" w:color="auto"/>
        <w:left w:val="none" w:sz="0" w:space="0" w:color="auto"/>
        <w:bottom w:val="none" w:sz="0" w:space="0" w:color="auto"/>
        <w:right w:val="none" w:sz="0" w:space="0" w:color="auto"/>
      </w:divBdr>
    </w:div>
    <w:div w:id="1656491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F3362E-15C4-42D4-ABE7-631B730C8650}">
  <ds:schemaRefs>
    <ds:schemaRef ds:uri="http://schemas.microsoft.com/sharepoint/v3/contenttype/forms"/>
  </ds:schemaRefs>
</ds:datastoreItem>
</file>

<file path=customXml/itemProps2.xml><?xml version="1.0" encoding="utf-8"?>
<ds:datastoreItem xmlns:ds="http://schemas.openxmlformats.org/officeDocument/2006/customXml" ds:itemID="{37A56ACB-E39C-4A7E-9D56-4C3207E45E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B6DFA38-939D-48A5-8308-CF2562DAD5E4}">
  <ds:schemaRef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purl.org/dc/term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0559EFBF-F854-4C55-8BC3-ACD4E265B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268</Words>
  <Characters>1695</Characters>
  <Application>Microsoft Office Word</Application>
  <DocSecurity>0</DocSecurity>
  <Lines>14</Lines>
  <Paragraphs>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KSB Group</Company>
  <LinksUpToDate>false</LinksUpToDate>
  <CharactersWithSpaces>1960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PAULCHR</dc:creator>
  <cp:lastModifiedBy>Christoph Pauly</cp:lastModifiedBy>
  <cp:revision>5</cp:revision>
  <cp:lastPrinted>2018-11-12T08:38:00Z</cp:lastPrinted>
  <dcterms:created xsi:type="dcterms:W3CDTF">2023-10-19T07:33:00Z</dcterms:created>
  <dcterms:modified xsi:type="dcterms:W3CDTF">2024-02-13T07:59:00Z</dcterms:modified>
</cp:coreProperties>
</file>