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EED4D31" w14:textId="7D6880D0" w:rsidR="00C31DD2" w:rsidRPr="00F76AF3" w:rsidRDefault="00C31DD2" w:rsidP="00C31DD2">
      <w:pPr>
        <w:pStyle w:val="Textkrper"/>
        <w:jc w:val="both"/>
        <w:outlineLvl w:val="0"/>
        <w:rPr>
          <w:b/>
          <w:szCs w:val="24"/>
        </w:rPr>
      </w:pPr>
      <w:r w:rsidRPr="00F76AF3">
        <w:rPr>
          <w:b/>
          <w:szCs w:val="24"/>
        </w:rPr>
        <w:t xml:space="preserve">Neue hocheffiziente Rührwerke </w:t>
      </w:r>
    </w:p>
    <w:p w14:paraId="40B709D2" w14:textId="77777777" w:rsidR="00C31DD2" w:rsidRPr="00F76AF3" w:rsidRDefault="00C31DD2" w:rsidP="00C31DD2">
      <w:pPr>
        <w:pStyle w:val="Textkrper"/>
        <w:jc w:val="both"/>
        <w:rPr>
          <w:szCs w:val="24"/>
        </w:rPr>
      </w:pPr>
    </w:p>
    <w:p w14:paraId="49009FE5" w14:textId="1EFB22AA" w:rsidR="0012610F" w:rsidRDefault="00C31DD2" w:rsidP="00771960">
      <w:pPr>
        <w:pStyle w:val="Kopfzeile"/>
        <w:tabs>
          <w:tab w:val="left" w:pos="708"/>
        </w:tabs>
        <w:jc w:val="both"/>
        <w:rPr>
          <w:szCs w:val="24"/>
        </w:rPr>
      </w:pPr>
      <w:r w:rsidRPr="00F76AF3">
        <w:rPr>
          <w:szCs w:val="24"/>
        </w:rPr>
        <w:t>Zur IFAT 2024 in M</w:t>
      </w:r>
      <w:r w:rsidR="007520F5">
        <w:rPr>
          <w:szCs w:val="24"/>
        </w:rPr>
        <w:t>ünchen, 13. bis 17. Mai, stellt</w:t>
      </w:r>
      <w:r w:rsidRPr="00F76AF3">
        <w:rPr>
          <w:szCs w:val="24"/>
        </w:rPr>
        <w:t xml:space="preserve"> die KSB Gruppe, die jüngste Generation ihrer </w:t>
      </w:r>
      <w:r w:rsidR="00512AF4" w:rsidRPr="007E4237">
        <w:t>AmaProp-</w:t>
      </w:r>
      <w:r w:rsidRPr="00F76AF3">
        <w:rPr>
          <w:szCs w:val="24"/>
        </w:rPr>
        <w:t xml:space="preserve">Rührwerke für den Einsatz in </w:t>
      </w:r>
      <w:r w:rsidR="007520F5">
        <w:rPr>
          <w:szCs w:val="24"/>
        </w:rPr>
        <w:t xml:space="preserve">der </w:t>
      </w:r>
      <w:r w:rsidR="00771960">
        <w:rPr>
          <w:szCs w:val="24"/>
        </w:rPr>
        <w:t xml:space="preserve">Schlamm- und </w:t>
      </w:r>
      <w:r w:rsidRPr="00F76AF3">
        <w:rPr>
          <w:szCs w:val="24"/>
        </w:rPr>
        <w:t xml:space="preserve">der </w:t>
      </w:r>
      <w:r w:rsidR="00771960">
        <w:rPr>
          <w:szCs w:val="24"/>
        </w:rPr>
        <w:t xml:space="preserve">biologischen </w:t>
      </w:r>
      <w:r w:rsidRPr="00F76AF3">
        <w:rPr>
          <w:szCs w:val="24"/>
        </w:rPr>
        <w:t>Abwasserbehandlung vor.</w:t>
      </w:r>
    </w:p>
    <w:p w14:paraId="3802EF88" w14:textId="77777777" w:rsidR="0012610F" w:rsidRDefault="0012610F" w:rsidP="00771960">
      <w:pPr>
        <w:pStyle w:val="Kopfzeile"/>
        <w:tabs>
          <w:tab w:val="left" w:pos="708"/>
        </w:tabs>
        <w:jc w:val="both"/>
        <w:rPr>
          <w:szCs w:val="24"/>
        </w:rPr>
      </w:pPr>
    </w:p>
    <w:p w14:paraId="76CE1FBC" w14:textId="798DCBF4" w:rsidR="009F33EA" w:rsidRPr="009F424A" w:rsidRDefault="00771960" w:rsidP="00771960">
      <w:pPr>
        <w:pStyle w:val="Kopfzeile"/>
        <w:tabs>
          <w:tab w:val="left" w:pos="708"/>
        </w:tabs>
        <w:jc w:val="both"/>
        <w:rPr>
          <w:szCs w:val="24"/>
        </w:rPr>
      </w:pPr>
      <w:r w:rsidRPr="00771960">
        <w:rPr>
          <w:szCs w:val="24"/>
        </w:rPr>
        <w:t>Als elektrische Antriebe kommen entweder IE5-Ultra-Premium-Efficiency-</w:t>
      </w:r>
      <w:r w:rsidR="00B036F8" w:rsidRPr="00B036F8">
        <w:rPr>
          <w:szCs w:val="24"/>
        </w:rPr>
        <w:t>Synchron-Reluktanzmotoren</w:t>
      </w:r>
      <w:r w:rsidRPr="00771960">
        <w:rPr>
          <w:szCs w:val="24"/>
        </w:rPr>
        <w:t xml:space="preserve"> oder IE3-Premium-Efficiency-Asynchronmotoren zum Einsatz, deren Leistungsbereiche von 0,85 bis 20,0 kW reichen.</w:t>
      </w:r>
      <w:r w:rsidR="0012610F">
        <w:rPr>
          <w:szCs w:val="24"/>
        </w:rPr>
        <w:t xml:space="preserve"> </w:t>
      </w:r>
      <w:r w:rsidR="009F33EA" w:rsidRPr="009F424A">
        <w:rPr>
          <w:szCs w:val="24"/>
        </w:rPr>
        <w:t>Im Unterschied zu konventionellen Synchronmotoren enth</w:t>
      </w:r>
      <w:r w:rsidR="00545BB2" w:rsidRPr="009F424A">
        <w:rPr>
          <w:szCs w:val="24"/>
        </w:rPr>
        <w:t>a</w:t>
      </w:r>
      <w:r w:rsidR="009F33EA" w:rsidRPr="009F424A">
        <w:rPr>
          <w:szCs w:val="24"/>
        </w:rPr>
        <w:t>lt</w:t>
      </w:r>
      <w:r w:rsidR="00545BB2" w:rsidRPr="009F424A">
        <w:rPr>
          <w:szCs w:val="24"/>
        </w:rPr>
        <w:t>en</w:t>
      </w:r>
      <w:r w:rsidR="009F33EA" w:rsidRPr="009F424A">
        <w:rPr>
          <w:szCs w:val="24"/>
        </w:rPr>
        <w:t xml:space="preserve"> d</w:t>
      </w:r>
      <w:r w:rsidR="00545BB2" w:rsidRPr="009F424A">
        <w:rPr>
          <w:szCs w:val="24"/>
        </w:rPr>
        <w:t>ie</w:t>
      </w:r>
      <w:r w:rsidR="009F33EA" w:rsidRPr="009F424A">
        <w:rPr>
          <w:szCs w:val="24"/>
        </w:rPr>
        <w:t xml:space="preserve"> IE5-</w:t>
      </w:r>
      <w:r w:rsidR="009F33EA" w:rsidRPr="009F424A">
        <w:rPr>
          <w:rFonts w:cs="Arial"/>
          <w:szCs w:val="24"/>
        </w:rPr>
        <w:t>Synchron-Reluktanzmotoren</w:t>
      </w:r>
      <w:r w:rsidR="009F33EA" w:rsidRPr="009F424A">
        <w:rPr>
          <w:szCs w:val="24"/>
        </w:rPr>
        <w:t xml:space="preserve"> keine Magnetwerkstoffe wie Seltene Erden, die als kritische Rohstoffe eingestuft sind und deren Gewinnung in den Ursprungsländern eine große Umweltbelastung darstellt.</w:t>
      </w:r>
    </w:p>
    <w:p w14:paraId="7DBAEA0E" w14:textId="77777777" w:rsidR="00545BB2" w:rsidRPr="009F424A" w:rsidRDefault="00545BB2" w:rsidP="00545BB2">
      <w:pPr>
        <w:pStyle w:val="Kopfzeile"/>
        <w:tabs>
          <w:tab w:val="left" w:pos="708"/>
        </w:tabs>
        <w:jc w:val="both"/>
        <w:rPr>
          <w:szCs w:val="24"/>
        </w:rPr>
      </w:pPr>
    </w:p>
    <w:p w14:paraId="06B21B5E" w14:textId="17E96A14" w:rsidR="00545BB2" w:rsidRDefault="00545BB2" w:rsidP="00545BB2">
      <w:pPr>
        <w:pStyle w:val="Kopfzeile"/>
        <w:tabs>
          <w:tab w:val="left" w:pos="708"/>
        </w:tabs>
        <w:jc w:val="both"/>
        <w:rPr>
          <w:szCs w:val="24"/>
        </w:rPr>
      </w:pPr>
      <w:r w:rsidRPr="009F424A">
        <w:rPr>
          <w:szCs w:val="24"/>
        </w:rPr>
        <w:t>Für die nötige Wellenabdichtung sorgen zwei hintereinander angeordnete, drehrichtungsunabhängige, Gleitringdichtungen mit Flüssigkeitsvorlage. Letztere ist mit umweltfreundlichem Weißöl gefüllt, das ökologisch unbedenklich ist. Ein Ölsensor, der in dem Gegenring der Gleitringdichtung verbaut ist</w:t>
      </w:r>
      <w:r w:rsidR="00D075B4" w:rsidRPr="009F424A">
        <w:rPr>
          <w:szCs w:val="24"/>
        </w:rPr>
        <w:t>,</w:t>
      </w:r>
      <w:r w:rsidRPr="009F424A">
        <w:rPr>
          <w:szCs w:val="24"/>
        </w:rPr>
        <w:t xml:space="preserve"> stellt sicher, dass bei einem eventuellen Schaden an den Gleitringdichtungen ein Alarm </w:t>
      </w:r>
      <w:r w:rsidR="00D075B4" w:rsidRPr="009F424A">
        <w:rPr>
          <w:szCs w:val="24"/>
        </w:rPr>
        <w:t>ausgelöst</w:t>
      </w:r>
      <w:r w:rsidRPr="009F424A">
        <w:rPr>
          <w:szCs w:val="24"/>
        </w:rPr>
        <w:t xml:space="preserve"> wird.</w:t>
      </w:r>
    </w:p>
    <w:p w14:paraId="2890531E" w14:textId="77777777" w:rsidR="009F33EA" w:rsidRDefault="009F33EA" w:rsidP="00771960">
      <w:pPr>
        <w:pStyle w:val="Kopfzeile"/>
        <w:tabs>
          <w:tab w:val="left" w:pos="708"/>
        </w:tabs>
        <w:jc w:val="both"/>
        <w:rPr>
          <w:szCs w:val="24"/>
        </w:rPr>
      </w:pPr>
    </w:p>
    <w:p w14:paraId="63ABF7FD" w14:textId="524E05DE" w:rsidR="00C31DD2" w:rsidRDefault="00771960" w:rsidP="00771960">
      <w:pPr>
        <w:pStyle w:val="Kopfzeile"/>
        <w:tabs>
          <w:tab w:val="left" w:pos="708"/>
        </w:tabs>
        <w:jc w:val="both"/>
        <w:rPr>
          <w:szCs w:val="24"/>
        </w:rPr>
      </w:pPr>
      <w:r w:rsidRPr="00771960">
        <w:rPr>
          <w:szCs w:val="24"/>
        </w:rPr>
        <w:t>Die Motoren sind serienmäßig mit wartungsfreien Lagern und Temperaturfühlern zum Schutz der Wicklung vor zu</w:t>
      </w:r>
      <w:r w:rsidR="000A68E7">
        <w:rPr>
          <w:szCs w:val="24"/>
        </w:rPr>
        <w:t xml:space="preserve"> starker Erwärmung sowie </w:t>
      </w:r>
      <w:r w:rsidR="007A240D" w:rsidRPr="007A240D">
        <w:rPr>
          <w:szCs w:val="24"/>
        </w:rPr>
        <w:t xml:space="preserve">Leckagesensoren </w:t>
      </w:r>
      <w:r w:rsidRPr="00771960">
        <w:rPr>
          <w:szCs w:val="24"/>
        </w:rPr>
        <w:t>ausgestattet. Auf Wunsch können Anwender zusätzliche Sensorpakete ordern, die etwa Lagertemperatur oder Schwingungsüberwachung beinhalten können.</w:t>
      </w:r>
    </w:p>
    <w:p w14:paraId="57559EF8" w14:textId="77777777" w:rsidR="00771960" w:rsidRPr="00F76AF3" w:rsidRDefault="00771960" w:rsidP="00771960">
      <w:pPr>
        <w:pStyle w:val="Kopfzeile"/>
        <w:tabs>
          <w:tab w:val="left" w:pos="708"/>
        </w:tabs>
        <w:jc w:val="both"/>
        <w:rPr>
          <w:szCs w:val="24"/>
        </w:rPr>
      </w:pPr>
    </w:p>
    <w:p w14:paraId="0AC065D1" w14:textId="3EE6D534" w:rsidR="00C31DD2" w:rsidRPr="00F76AF3" w:rsidRDefault="00C31DD2" w:rsidP="0012610F">
      <w:pPr>
        <w:pStyle w:val="Kopfzeile"/>
        <w:tabs>
          <w:tab w:val="left" w:pos="708"/>
        </w:tabs>
        <w:jc w:val="both"/>
        <w:rPr>
          <w:szCs w:val="24"/>
        </w:rPr>
      </w:pPr>
      <w:r w:rsidRPr="00F76AF3">
        <w:rPr>
          <w:szCs w:val="24"/>
        </w:rPr>
        <w:t>Die glasfaserverstärkten zwei</w:t>
      </w:r>
      <w:r w:rsidR="00832603">
        <w:rPr>
          <w:szCs w:val="24"/>
        </w:rPr>
        <w:t>-</w:t>
      </w:r>
      <w:r w:rsidRPr="00F76AF3">
        <w:rPr>
          <w:szCs w:val="24"/>
        </w:rPr>
        <w:t xml:space="preserve"> oder dreiblättrigen Epoxidharzpropeller sind leicht und trotzdem bruchsicher. Die Oberfläche ist mit einer besonderen Gelcoat-Schutzschicht versehen, die Korrosion und Abrasion wirkungsvoll verhindert.</w:t>
      </w:r>
      <w:r w:rsidR="0012610F">
        <w:rPr>
          <w:szCs w:val="24"/>
        </w:rPr>
        <w:t xml:space="preserve"> </w:t>
      </w:r>
      <w:r w:rsidR="00545BB2">
        <w:rPr>
          <w:szCs w:val="24"/>
        </w:rPr>
        <w:t xml:space="preserve">Ihre </w:t>
      </w:r>
      <w:r w:rsidRPr="00F76AF3">
        <w:rPr>
          <w:szCs w:val="24"/>
        </w:rPr>
        <w:t xml:space="preserve">Kontur </w:t>
      </w:r>
      <w:r w:rsidR="00545BB2">
        <w:rPr>
          <w:szCs w:val="24"/>
        </w:rPr>
        <w:t>wurde m</w:t>
      </w:r>
      <w:r w:rsidRPr="00F76AF3">
        <w:rPr>
          <w:szCs w:val="24"/>
        </w:rPr>
        <w:t>ithilfe numerischer Strömungssimulation</w:t>
      </w:r>
      <w:r w:rsidR="000A68E7">
        <w:rPr>
          <w:szCs w:val="24"/>
        </w:rPr>
        <w:t xml:space="preserve"> entwickelt.</w:t>
      </w:r>
      <w:r w:rsidR="0012610F">
        <w:rPr>
          <w:szCs w:val="24"/>
        </w:rPr>
        <w:t xml:space="preserve"> </w:t>
      </w:r>
      <w:r w:rsidR="00545BB2">
        <w:rPr>
          <w:szCs w:val="24"/>
        </w:rPr>
        <w:t>Die</w:t>
      </w:r>
      <w:r w:rsidRPr="00F76AF3">
        <w:rPr>
          <w:szCs w:val="24"/>
        </w:rPr>
        <w:t xml:space="preserve"> Durchmesser variieren von 800 bis 2600 mm und decken so alle Anwendungsbereiche ab. </w:t>
      </w:r>
    </w:p>
    <w:p w14:paraId="120EAE9D" w14:textId="77777777" w:rsidR="00C31DD2" w:rsidRPr="00F76AF3" w:rsidRDefault="00C31DD2" w:rsidP="00C31DD2">
      <w:pPr>
        <w:pStyle w:val="Kopfzeile"/>
        <w:tabs>
          <w:tab w:val="clear" w:pos="4536"/>
          <w:tab w:val="left" w:pos="4962"/>
        </w:tabs>
        <w:jc w:val="both"/>
        <w:rPr>
          <w:szCs w:val="24"/>
        </w:rPr>
      </w:pPr>
    </w:p>
    <w:p w14:paraId="584D6C8A" w14:textId="5D1A44ED" w:rsidR="00C31DD2" w:rsidRDefault="00C31DD2" w:rsidP="0012610F">
      <w:pPr>
        <w:pStyle w:val="Kopfzeile"/>
        <w:tabs>
          <w:tab w:val="clear" w:pos="4536"/>
          <w:tab w:val="left" w:pos="4962"/>
        </w:tabs>
        <w:jc w:val="both"/>
        <w:rPr>
          <w:szCs w:val="24"/>
        </w:rPr>
      </w:pPr>
      <w:r w:rsidRPr="00F76AF3">
        <w:rPr>
          <w:szCs w:val="24"/>
        </w:rPr>
        <w:t xml:space="preserve">Niedrige Propellerdrehzahlen von 24 bis 208 </w:t>
      </w:r>
      <w:r w:rsidR="007520F5">
        <w:rPr>
          <w:szCs w:val="24"/>
        </w:rPr>
        <w:t>Umdrehungen pro Minute</w:t>
      </w:r>
      <w:r w:rsidRPr="00F76AF3">
        <w:rPr>
          <w:szCs w:val="24"/>
        </w:rPr>
        <w:t xml:space="preserve"> sorgen für eine optimale Anpassung der Rührwerke an </w:t>
      </w:r>
      <w:r w:rsidR="007520F5">
        <w:rPr>
          <w:szCs w:val="24"/>
        </w:rPr>
        <w:t>ihre</w:t>
      </w:r>
      <w:r w:rsidRPr="00F76AF3">
        <w:rPr>
          <w:szCs w:val="24"/>
        </w:rPr>
        <w:t xml:space="preserve"> Anwendung. Erreicht werden diese niedrigen Drehzahlen durch die Verwendung </w:t>
      </w:r>
      <w:r w:rsidR="00F22C6D">
        <w:rPr>
          <w:szCs w:val="24"/>
        </w:rPr>
        <w:t>von</w:t>
      </w:r>
      <w:r w:rsidR="00F22C6D" w:rsidRPr="00F22C6D">
        <w:rPr>
          <w:szCs w:val="24"/>
        </w:rPr>
        <w:t xml:space="preserve"> Frequenzumrichtern </w:t>
      </w:r>
      <w:r w:rsidR="00F22C6D">
        <w:rPr>
          <w:szCs w:val="24"/>
        </w:rPr>
        <w:t xml:space="preserve">und </w:t>
      </w:r>
      <w:r w:rsidRPr="00F76AF3">
        <w:rPr>
          <w:szCs w:val="24"/>
        </w:rPr>
        <w:t>schräg verzahnten Stirnradgetrieben mit zwei oder drei Stufen.</w:t>
      </w:r>
      <w:r w:rsidR="0012610F">
        <w:rPr>
          <w:szCs w:val="24"/>
        </w:rPr>
        <w:t xml:space="preserve"> </w:t>
      </w:r>
      <w:r w:rsidRPr="00F76AF3">
        <w:rPr>
          <w:szCs w:val="24"/>
        </w:rPr>
        <w:t xml:space="preserve">Die Getriebe laufen geräuscharm und sind für eine Laufzeit </w:t>
      </w:r>
      <w:r w:rsidR="006F67B9">
        <w:rPr>
          <w:szCs w:val="24"/>
        </w:rPr>
        <w:t xml:space="preserve">von 100.000 Stunden </w:t>
      </w:r>
      <w:r w:rsidRPr="00F76AF3">
        <w:rPr>
          <w:szCs w:val="24"/>
        </w:rPr>
        <w:t>ausgelegt.</w:t>
      </w:r>
    </w:p>
    <w:p w14:paraId="53D31BC0" w14:textId="77777777" w:rsidR="00C758A4" w:rsidRPr="00F76AF3" w:rsidRDefault="00C758A4" w:rsidP="0012610F">
      <w:pPr>
        <w:pStyle w:val="Kopfzeile"/>
        <w:tabs>
          <w:tab w:val="clear" w:pos="4536"/>
          <w:tab w:val="left" w:pos="4962"/>
        </w:tabs>
        <w:jc w:val="both"/>
        <w:rPr>
          <w:szCs w:val="24"/>
        </w:rPr>
      </w:pPr>
    </w:p>
    <w:p w14:paraId="1A654818" w14:textId="46DC5E16" w:rsidR="00C31DD2" w:rsidRPr="00F76AF3" w:rsidRDefault="00C31DD2" w:rsidP="0012610F">
      <w:pPr>
        <w:pStyle w:val="Kopfzeile"/>
        <w:tabs>
          <w:tab w:val="left" w:pos="708"/>
        </w:tabs>
        <w:jc w:val="both"/>
        <w:rPr>
          <w:szCs w:val="24"/>
        </w:rPr>
      </w:pPr>
      <w:r w:rsidRPr="00F76AF3">
        <w:rPr>
          <w:szCs w:val="24"/>
        </w:rPr>
        <w:t xml:space="preserve">Die Hauptwartungsintervalle der AmaProp-Aggregate liegen aufgrund ihrer robusten Bauweise bei 16.000 Stunden oder drei Jahren. </w:t>
      </w:r>
      <w:r w:rsidR="007520F5">
        <w:rPr>
          <w:szCs w:val="24"/>
        </w:rPr>
        <w:t>Ihre</w:t>
      </w:r>
      <w:r w:rsidRPr="00F76AF3">
        <w:rPr>
          <w:szCs w:val="24"/>
        </w:rPr>
        <w:t xml:space="preserve"> Kabeleinführung</w:t>
      </w:r>
      <w:r w:rsidR="007520F5">
        <w:rPr>
          <w:szCs w:val="24"/>
        </w:rPr>
        <w:t>en sind</w:t>
      </w:r>
      <w:r w:rsidRPr="00F76AF3">
        <w:rPr>
          <w:szCs w:val="24"/>
        </w:rPr>
        <w:t xml:space="preserve"> längswasserdicht vergossen</w:t>
      </w:r>
      <w:r w:rsidR="0021257F">
        <w:rPr>
          <w:szCs w:val="24"/>
        </w:rPr>
        <w:t xml:space="preserve">. </w:t>
      </w:r>
      <w:r w:rsidRPr="00F76AF3">
        <w:rPr>
          <w:szCs w:val="24"/>
        </w:rPr>
        <w:t>Für einen sicheren Stand im Klärbecken sorgen d</w:t>
      </w:r>
      <w:r w:rsidR="00B036F8">
        <w:rPr>
          <w:szCs w:val="24"/>
        </w:rPr>
        <w:t>er</w:t>
      </w:r>
      <w:r w:rsidR="00710ABA" w:rsidRPr="00710ABA">
        <w:t xml:space="preserve"> </w:t>
      </w:r>
      <w:r w:rsidR="00B036F8">
        <w:t>Rührwerksständer</w:t>
      </w:r>
      <w:r w:rsidR="00710ABA">
        <w:t xml:space="preserve"> AmaRoc</w:t>
      </w:r>
      <w:r w:rsidRPr="00F76AF3">
        <w:rPr>
          <w:szCs w:val="24"/>
        </w:rPr>
        <w:t xml:space="preserve">, die aus besonders festem und beständigem </w:t>
      </w:r>
      <w:r w:rsidR="00710ABA">
        <w:rPr>
          <w:szCs w:val="24"/>
        </w:rPr>
        <w:t xml:space="preserve">Mineralguss </w:t>
      </w:r>
      <w:r w:rsidRPr="00F76AF3">
        <w:rPr>
          <w:szCs w:val="24"/>
        </w:rPr>
        <w:t>gefertigt werden.</w:t>
      </w:r>
    </w:p>
    <w:p w14:paraId="3A8B8F3F" w14:textId="77777777" w:rsidR="00C31DD2" w:rsidRDefault="00C31DD2" w:rsidP="00C31DD2">
      <w:pPr>
        <w:pStyle w:val="Kopfzeile"/>
        <w:jc w:val="both"/>
        <w:rPr>
          <w:szCs w:val="24"/>
        </w:rPr>
      </w:pPr>
    </w:p>
    <w:p w14:paraId="3180A9C7" w14:textId="745A872C" w:rsidR="00BA7AF9" w:rsidRPr="00C31DD2" w:rsidRDefault="00C31DD2" w:rsidP="00E63841">
      <w:pPr>
        <w:pStyle w:val="Kopfzeile"/>
        <w:tabs>
          <w:tab w:val="left" w:pos="708"/>
        </w:tabs>
        <w:jc w:val="both"/>
      </w:pPr>
      <w:bookmarkStart w:id="0" w:name="_GoBack"/>
      <w:bookmarkEnd w:id="0"/>
      <w:r w:rsidRPr="00F76AF3">
        <w:rPr>
          <w:i/>
          <w:szCs w:val="24"/>
        </w:rPr>
        <w:t>Foto: Die neuen hocheffizienten AmaProp-Rührwerke für den Einsatz in der Abwasserbehandlung (</w:t>
      </w:r>
      <w:r w:rsidR="007D3925">
        <w:rPr>
          <w:rFonts w:cs="Arial"/>
          <w:b/>
          <w:bCs/>
          <w:color w:val="1F497D"/>
          <w:sz w:val="20"/>
        </w:rPr>
        <w:t>KSB SE &amp; Co. KGaA</w:t>
      </w:r>
      <w:r w:rsidR="0021257F">
        <w:rPr>
          <w:i/>
          <w:szCs w:val="24"/>
        </w:rPr>
        <w:t>)</w:t>
      </w:r>
    </w:p>
    <w:sectPr w:rsidR="00BA7AF9" w:rsidRPr="00C31DD2" w:rsidSect="00E63841">
      <w:pgSz w:w="11906" w:h="16838" w:code="9"/>
      <w:pgMar w:top="851" w:right="2408" w:bottom="1134" w:left="1843" w:header="567"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7DC19C" w14:textId="77777777" w:rsidR="004B7072" w:rsidRDefault="004B7072">
      <w:r>
        <w:separator/>
      </w:r>
    </w:p>
  </w:endnote>
  <w:endnote w:type="continuationSeparator" w:id="0">
    <w:p w14:paraId="70BD52A8" w14:textId="77777777" w:rsidR="004B7072" w:rsidRDefault="004B70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6D2320B" w14:textId="77777777" w:rsidR="004B7072" w:rsidRDefault="004B7072">
      <w:r>
        <w:separator/>
      </w:r>
    </w:p>
  </w:footnote>
  <w:footnote w:type="continuationSeparator" w:id="0">
    <w:p w14:paraId="0CBD19BF" w14:textId="77777777" w:rsidR="004B7072" w:rsidRDefault="004B707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isplayHorizontalDrawingGridEvery w:val="0"/>
  <w:displayVerticalDrawingGridEvery w:val="0"/>
  <w:doNotUseMarginsForDrawingGridOrigin/>
  <w:noPunctuationKerning/>
  <w:characterSpacingControl w:val="doNotCompress"/>
  <w:hdrShapeDefaults>
    <o:shapedefaults v:ext="edit" spidmax="20481"/>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DE5AFEE4-0AFA-41B2-BC91-7FFF4B9110AF}"/>
    <w:docVar w:name="dgnword-eventsink" w:val="565700424"/>
  </w:docVars>
  <w:rsids>
    <w:rsidRoot w:val="006F0772"/>
    <w:rsid w:val="00012430"/>
    <w:rsid w:val="00021B0D"/>
    <w:rsid w:val="000303AA"/>
    <w:rsid w:val="00043652"/>
    <w:rsid w:val="000A68E7"/>
    <w:rsid w:val="000F3E6E"/>
    <w:rsid w:val="000F68FA"/>
    <w:rsid w:val="00121D26"/>
    <w:rsid w:val="0012610F"/>
    <w:rsid w:val="0021257F"/>
    <w:rsid w:val="00290896"/>
    <w:rsid w:val="003A478B"/>
    <w:rsid w:val="00416C24"/>
    <w:rsid w:val="004B7072"/>
    <w:rsid w:val="00512AF4"/>
    <w:rsid w:val="00545BB2"/>
    <w:rsid w:val="00596929"/>
    <w:rsid w:val="005C4448"/>
    <w:rsid w:val="005F29B9"/>
    <w:rsid w:val="006F0772"/>
    <w:rsid w:val="006F2145"/>
    <w:rsid w:val="006F67B9"/>
    <w:rsid w:val="00710ABA"/>
    <w:rsid w:val="007520F5"/>
    <w:rsid w:val="00771960"/>
    <w:rsid w:val="007A240D"/>
    <w:rsid w:val="007D3925"/>
    <w:rsid w:val="007E4237"/>
    <w:rsid w:val="00832603"/>
    <w:rsid w:val="00873082"/>
    <w:rsid w:val="00896BF2"/>
    <w:rsid w:val="008E4FFC"/>
    <w:rsid w:val="00956588"/>
    <w:rsid w:val="009F33EA"/>
    <w:rsid w:val="009F424A"/>
    <w:rsid w:val="00B036F8"/>
    <w:rsid w:val="00BA7AF9"/>
    <w:rsid w:val="00BD497F"/>
    <w:rsid w:val="00BE3BCB"/>
    <w:rsid w:val="00C13F73"/>
    <w:rsid w:val="00C31DD2"/>
    <w:rsid w:val="00C758A4"/>
    <w:rsid w:val="00C8762C"/>
    <w:rsid w:val="00CA7DC4"/>
    <w:rsid w:val="00D075B4"/>
    <w:rsid w:val="00D30363"/>
    <w:rsid w:val="00DC21A5"/>
    <w:rsid w:val="00DE4A02"/>
    <w:rsid w:val="00E63841"/>
    <w:rsid w:val="00EE0F26"/>
    <w:rsid w:val="00EE33E7"/>
    <w:rsid w:val="00F22C6D"/>
    <w:rsid w:val="00F76AF3"/>
    <w:rsid w:val="00FC02DA"/>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81"/>
    <o:shapelayout v:ext="edit">
      <o:idmap v:ext="edit" data="1"/>
    </o:shapelayout>
  </w:shapeDefaults>
  <w:decimalSymbol w:val=","/>
  <w:listSeparator w:val=";"/>
  <w14:docId w14:val="12C4A79A"/>
  <w15:chartTrackingRefBased/>
  <w15:docId w15:val="{1C0573FF-B015-4FF8-9435-3D216174C1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rFonts w:ascii="Arial" w:hAnsi="Arial"/>
      <w:sz w:val="24"/>
    </w:rPr>
  </w:style>
  <w:style w:type="paragraph" w:styleId="berschrift1">
    <w:name w:val="heading 1"/>
    <w:basedOn w:val="Standard"/>
    <w:next w:val="Standard"/>
    <w:qFormat/>
    <w:pPr>
      <w:keepNext/>
      <w:jc w:val="both"/>
      <w:outlineLvl w:val="0"/>
    </w:pPr>
    <w:rPr>
      <w:b/>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semiHidden/>
    <w:pPr>
      <w:tabs>
        <w:tab w:val="center" w:pos="4536"/>
        <w:tab w:val="right" w:pos="9072"/>
      </w:tabs>
    </w:pPr>
  </w:style>
  <w:style w:type="paragraph" w:styleId="Fuzeile">
    <w:name w:val="footer"/>
    <w:basedOn w:val="Standard"/>
    <w:semiHidden/>
    <w:pPr>
      <w:tabs>
        <w:tab w:val="center" w:pos="4536"/>
        <w:tab w:val="right" w:pos="9072"/>
      </w:tabs>
    </w:pPr>
  </w:style>
  <w:style w:type="character" w:styleId="Seitenzahl">
    <w:name w:val="page number"/>
    <w:basedOn w:val="Absatz-Standardschriftart"/>
    <w:semiHidden/>
  </w:style>
  <w:style w:type="paragraph" w:styleId="Textkrper">
    <w:name w:val="Body Text"/>
    <w:basedOn w:val="Standard"/>
    <w:link w:val="TextkrperZchn"/>
    <w:semiHidden/>
  </w:style>
  <w:style w:type="paragraph" w:styleId="Textkrper2">
    <w:name w:val="Body Text 2"/>
    <w:basedOn w:val="Standard"/>
    <w:semiHidden/>
    <w:pPr>
      <w:jc w:val="both"/>
    </w:pPr>
    <w:rPr>
      <w:b/>
      <w:sz w:val="28"/>
    </w:rPr>
  </w:style>
  <w:style w:type="paragraph" w:styleId="Textkrper3">
    <w:name w:val="Body Text 3"/>
    <w:basedOn w:val="Standard"/>
    <w:semiHidden/>
    <w:pPr>
      <w:jc w:val="both"/>
    </w:pPr>
    <w:rPr>
      <w:sz w:val="32"/>
    </w:rPr>
  </w:style>
  <w:style w:type="paragraph" w:styleId="Dokumentstruktur">
    <w:name w:val="Document Map"/>
    <w:basedOn w:val="Standard"/>
    <w:semiHidden/>
    <w:pPr>
      <w:shd w:val="clear" w:color="auto" w:fill="000080"/>
    </w:pPr>
    <w:rPr>
      <w:rFonts w:ascii="Tahoma" w:hAnsi="Tahoma"/>
    </w:rPr>
  </w:style>
  <w:style w:type="character" w:customStyle="1" w:styleId="KopfzeileZchn">
    <w:name w:val="Kopfzeile Zchn"/>
    <w:basedOn w:val="Absatz-Standardschriftart"/>
    <w:link w:val="Kopfzeile"/>
    <w:semiHidden/>
    <w:rsid w:val="00C31DD2"/>
    <w:rPr>
      <w:rFonts w:ascii="Arial" w:hAnsi="Arial"/>
      <w:sz w:val="24"/>
    </w:rPr>
  </w:style>
  <w:style w:type="character" w:customStyle="1" w:styleId="TextkrperZchn">
    <w:name w:val="Textkörper Zchn"/>
    <w:basedOn w:val="Absatz-Standardschriftart"/>
    <w:link w:val="Textkrper"/>
    <w:semiHidden/>
    <w:rsid w:val="00C31DD2"/>
    <w:rPr>
      <w:rFonts w:ascii="Arial" w:hAnsi="Arial"/>
      <w:sz w:val="24"/>
    </w:rPr>
  </w:style>
  <w:style w:type="character" w:styleId="Kommentarzeichen">
    <w:name w:val="annotation reference"/>
    <w:basedOn w:val="Absatz-Standardschriftart"/>
    <w:uiPriority w:val="99"/>
    <w:semiHidden/>
    <w:unhideWhenUsed/>
    <w:rsid w:val="00043652"/>
    <w:rPr>
      <w:sz w:val="16"/>
      <w:szCs w:val="16"/>
    </w:rPr>
  </w:style>
  <w:style w:type="paragraph" w:styleId="Kommentartext">
    <w:name w:val="annotation text"/>
    <w:basedOn w:val="Standard"/>
    <w:link w:val="KommentartextZchn"/>
    <w:uiPriority w:val="99"/>
    <w:semiHidden/>
    <w:unhideWhenUsed/>
    <w:rsid w:val="00043652"/>
    <w:rPr>
      <w:sz w:val="20"/>
    </w:rPr>
  </w:style>
  <w:style w:type="character" w:customStyle="1" w:styleId="KommentartextZchn">
    <w:name w:val="Kommentartext Zchn"/>
    <w:basedOn w:val="Absatz-Standardschriftart"/>
    <w:link w:val="Kommentartext"/>
    <w:uiPriority w:val="99"/>
    <w:semiHidden/>
    <w:rsid w:val="00043652"/>
    <w:rPr>
      <w:rFonts w:ascii="Arial" w:hAnsi="Arial"/>
    </w:rPr>
  </w:style>
  <w:style w:type="paragraph" w:styleId="Kommentarthema">
    <w:name w:val="annotation subject"/>
    <w:basedOn w:val="Kommentartext"/>
    <w:next w:val="Kommentartext"/>
    <w:link w:val="KommentarthemaZchn"/>
    <w:uiPriority w:val="99"/>
    <w:semiHidden/>
    <w:unhideWhenUsed/>
    <w:rsid w:val="00043652"/>
    <w:rPr>
      <w:b/>
      <w:bCs/>
    </w:rPr>
  </w:style>
  <w:style w:type="character" w:customStyle="1" w:styleId="KommentarthemaZchn">
    <w:name w:val="Kommentarthema Zchn"/>
    <w:basedOn w:val="KommentartextZchn"/>
    <w:link w:val="Kommentarthema"/>
    <w:uiPriority w:val="99"/>
    <w:semiHidden/>
    <w:rsid w:val="00043652"/>
    <w:rPr>
      <w:rFonts w:ascii="Arial" w:hAnsi="Arial"/>
      <w:b/>
      <w:bCs/>
    </w:rPr>
  </w:style>
  <w:style w:type="paragraph" w:styleId="Sprechblasentext">
    <w:name w:val="Balloon Text"/>
    <w:basedOn w:val="Standard"/>
    <w:link w:val="SprechblasentextZchn"/>
    <w:uiPriority w:val="99"/>
    <w:semiHidden/>
    <w:unhideWhenUsed/>
    <w:rsid w:val="00043652"/>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04365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58249494">
      <w:bodyDiv w:val="1"/>
      <w:marLeft w:val="0"/>
      <w:marRight w:val="0"/>
      <w:marTop w:val="0"/>
      <w:marBottom w:val="0"/>
      <w:divBdr>
        <w:top w:val="none" w:sz="0" w:space="0" w:color="auto"/>
        <w:left w:val="none" w:sz="0" w:space="0" w:color="auto"/>
        <w:bottom w:val="none" w:sz="0" w:space="0" w:color="auto"/>
        <w:right w:val="none" w:sz="0" w:space="0" w:color="auto"/>
      </w:divBdr>
    </w:div>
    <w:div w:id="731470539">
      <w:bodyDiv w:val="1"/>
      <w:marLeft w:val="0"/>
      <w:marRight w:val="0"/>
      <w:marTop w:val="0"/>
      <w:marBottom w:val="0"/>
      <w:divBdr>
        <w:top w:val="none" w:sz="0" w:space="0" w:color="auto"/>
        <w:left w:val="none" w:sz="0" w:space="0" w:color="auto"/>
        <w:bottom w:val="none" w:sz="0" w:space="0" w:color="auto"/>
        <w:right w:val="none" w:sz="0" w:space="0" w:color="auto"/>
      </w:divBdr>
      <w:divsChild>
        <w:div w:id="1674137817">
          <w:marLeft w:val="446"/>
          <w:marRight w:val="0"/>
          <w:marTop w:val="240"/>
          <w:marBottom w:val="0"/>
          <w:divBdr>
            <w:top w:val="none" w:sz="0" w:space="0" w:color="auto"/>
            <w:left w:val="none" w:sz="0" w:space="0" w:color="auto"/>
            <w:bottom w:val="none" w:sz="0" w:space="0" w:color="auto"/>
            <w:right w:val="none" w:sz="0" w:space="0" w:color="auto"/>
          </w:divBdr>
        </w:div>
      </w:divsChild>
    </w:div>
    <w:div w:id="772433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customXml" Target="../customXml/item3.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openxmlformats.org/officeDocument/2006/relationships/styles" Target="styles.xml"/><Relationship Id="rId9"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4B0A2F0BE266743809500E612C8BDA4" ma:contentTypeVersion="15" ma:contentTypeDescription="Create a new document." ma:contentTypeScope="" ma:versionID="4dd2703ee7a4a565c13b6dbb4f2ca213">
  <xsd:schema xmlns:xsd="http://www.w3.org/2001/XMLSchema" xmlns:xs="http://www.w3.org/2001/XMLSchema" xmlns:p="http://schemas.microsoft.com/office/2006/metadata/properties" xmlns:ns3="9ae6f41a-deac-4714-8c9f-0d40214dea88" xmlns:ns4="08842d54-d115-43cc-9fbf-6168e65ecbe6" targetNamespace="http://schemas.microsoft.com/office/2006/metadata/properties" ma:root="true" ma:fieldsID="605988a5decb50a25db2df923e142da0" ns3:_="" ns4:_="">
    <xsd:import namespace="9ae6f41a-deac-4714-8c9f-0d40214dea88"/>
    <xsd:import namespace="08842d54-d115-43cc-9fbf-6168e65ecbe6"/>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ServiceLocation" minOccurs="0"/>
                <xsd:element ref="ns3:MediaLengthInSeconds" minOccurs="0"/>
                <xsd:element ref="ns4:SharedWithUsers" minOccurs="0"/>
                <xsd:element ref="ns4:SharedWithDetails" minOccurs="0"/>
                <xsd:element ref="ns4:SharingHintHash"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ae6f41a-deac-4714-8c9f-0d40214dea8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DateTaken" ma:index="12" nillable="true" ma:displayName="MediaServiceDateTaken" ma:hidden="true" ma:indexed="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dexed="true" ma:internalName="MediaServiceLocatio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MediaServiceSystemTags" ma:index="22"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8842d54-d115-43cc-9fbf-6168e65ecbe6"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element name="SharingHintHash" ma:index="21"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9ae6f41a-deac-4714-8c9f-0d40214dea88" xsi:nil="true"/>
  </documentManagement>
</p:properties>
</file>

<file path=customXml/itemProps1.xml><?xml version="1.0" encoding="utf-8"?>
<ds:datastoreItem xmlns:ds="http://schemas.openxmlformats.org/officeDocument/2006/customXml" ds:itemID="{71DE3E28-69D8-4677-80D9-AF3194C1FA4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ae6f41a-deac-4714-8c9f-0d40214dea88"/>
    <ds:schemaRef ds:uri="08842d54-d115-43cc-9fbf-6168e65ecbe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40DCA8B5-9C52-425D-B66D-DE39CC068487}">
  <ds:schemaRefs>
    <ds:schemaRef ds:uri="http://schemas.microsoft.com/sharepoint/v3/contenttype/forms"/>
  </ds:schemaRefs>
</ds:datastoreItem>
</file>

<file path=customXml/itemProps3.xml><?xml version="1.0" encoding="utf-8"?>
<ds:datastoreItem xmlns:ds="http://schemas.openxmlformats.org/officeDocument/2006/customXml" ds:itemID="{5A337664-475C-4D11-BCF6-CF6AE3C469E4}">
  <ds:schemaRefs>
    <ds:schemaRef ds:uri="http://purl.org/dc/elements/1.1/"/>
    <ds:schemaRef ds:uri="http://schemas.microsoft.com/office/2006/metadata/properties"/>
    <ds:schemaRef ds:uri="08842d54-d115-43cc-9fbf-6168e65ecbe6"/>
    <ds:schemaRef ds:uri="http://purl.org/dc/terms/"/>
    <ds:schemaRef ds:uri="http://schemas.openxmlformats.org/package/2006/metadata/core-properties"/>
    <ds:schemaRef ds:uri="http://purl.org/dc/dcmitype/"/>
    <ds:schemaRef ds:uri="http://schemas.microsoft.com/office/infopath/2007/PartnerControls"/>
    <ds:schemaRef ds:uri="http://schemas.microsoft.com/office/2006/documentManagement/types"/>
    <ds:schemaRef ds:uri="9ae6f41a-deac-4714-8c9f-0d40214dea88"/>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311</Words>
  <Characters>2296</Characters>
  <Application>Microsoft Office Word</Application>
  <DocSecurity>0</DocSecurity>
  <Lines>19</Lines>
  <Paragraphs>5</Paragraphs>
  <ScaleCrop>false</ScaleCrop>
  <HeadingPairs>
    <vt:vector size="2" baseType="variant">
      <vt:variant>
        <vt:lpstr>Titel</vt:lpstr>
      </vt:variant>
      <vt:variant>
        <vt:i4>1</vt:i4>
      </vt:variant>
    </vt:vector>
  </HeadingPairs>
  <TitlesOfParts>
    <vt:vector size="1" baseType="lpstr">
      <vt:lpstr>Für den stetig an Bedeutung gewinnenden Markt an der leckagefreien Pumpen bringt die KSB Aktiengesellschaft, Frankenthal eine neuentwickelte mehrstufige Hochdruckpumpe</vt:lpstr>
    </vt:vector>
  </TitlesOfParts>
  <Company>SBS ACC KSB</Company>
  <LinksUpToDate>false</LinksUpToDate>
  <CharactersWithSpaces>2602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Für den stetig an Bedeutung gewinnenden Markt an der leckagefreien Pumpen bringt die KSB Aktiengesellschaft, Frankenthal eine neuentwickelte mehrstufige Hochdruckpumpe</dc:title>
  <dc:subject/>
  <dc:creator>Christoph P. Pauly</dc:creator>
  <cp:keywords/>
  <cp:lastModifiedBy>Pauly, Christoph</cp:lastModifiedBy>
  <cp:revision>5</cp:revision>
  <cp:lastPrinted>2002-07-30T13:13:00Z</cp:lastPrinted>
  <dcterms:created xsi:type="dcterms:W3CDTF">2024-01-17T10:18:00Z</dcterms:created>
  <dcterms:modified xsi:type="dcterms:W3CDTF">2024-01-18T08:55:00Z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0x010100A4B0A2F0BE266743809500E612C8BDA4</vt:lpwstr>
  </property>
</Properties>
</file>