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73DC8C" w14:textId="31BB7441" w:rsidR="00CE62AD" w:rsidRPr="007267FB" w:rsidRDefault="00CE62AD" w:rsidP="00CE62AD">
      <w:pPr>
        <w:jc w:val="both"/>
        <w:rPr>
          <w:b/>
        </w:rPr>
      </w:pPr>
      <w:r>
        <w:rPr>
          <w:b/>
        </w:rPr>
        <w:t>New break tank package booster sets for fire fighting meet DIN 14462: 2023-07</w:t>
      </w:r>
    </w:p>
    <w:p w14:paraId="3CE0AD4B" w14:textId="77777777" w:rsidR="00CE62AD" w:rsidRDefault="00CE62AD" w:rsidP="00CE62AD">
      <w:pPr>
        <w:jc w:val="both"/>
        <w:rPr>
          <w:b/>
        </w:rPr>
      </w:pPr>
    </w:p>
    <w:p w14:paraId="2C8596EA" w14:textId="52F66432" w:rsidR="00F13753" w:rsidRDefault="00E5619E" w:rsidP="00CE62AD">
      <w:pPr>
        <w:jc w:val="both"/>
      </w:pPr>
      <w:r>
        <w:t>At the end of 2023 the KSB Group launched a new generation of its HyaDuo break tank package booster sets for fire fighting on the market. The sets meet the revised DIN 14462: 2023-07</w:t>
      </w:r>
      <w:r w:rsidR="00135F7C">
        <w:t xml:space="preserve"> standard</w:t>
      </w:r>
      <w:r>
        <w:t xml:space="preserve"> for fire-fighting systems and break tank package booster sets for wall hydrant systems. The extended standard contains a number of changes tha</w:t>
      </w:r>
      <w:bookmarkStart w:id="0" w:name="_GoBack"/>
      <w:bookmarkEnd w:id="0"/>
      <w:r>
        <w:t xml:space="preserve">t majorly impacted the design details of the fully automatic break tank package booster set for fire fighting. </w:t>
      </w:r>
    </w:p>
    <w:p w14:paraId="170EDD37" w14:textId="77777777" w:rsidR="00F13753" w:rsidRDefault="00F13753" w:rsidP="00CE62AD">
      <w:pPr>
        <w:jc w:val="both"/>
      </w:pPr>
    </w:p>
    <w:p w14:paraId="477B4628" w14:textId="543F739E" w:rsidR="00CE62AD" w:rsidRDefault="00B12B37" w:rsidP="00CE62AD">
      <w:pPr>
        <w:jc w:val="both"/>
      </w:pPr>
      <w:r>
        <w:t>T</w:t>
      </w:r>
      <w:r w:rsidR="00CE62AD">
        <w:t>he redundancy</w:t>
      </w:r>
      <w:r w:rsidR="006F3EE0">
        <w:t>, in particular, that is</w:t>
      </w:r>
      <w:r w:rsidR="00CE62AD">
        <w:t xml:space="preserve"> </w:t>
      </w:r>
      <w:r>
        <w:t>stipulated</w:t>
      </w:r>
      <w:r w:rsidR="00CE62AD">
        <w:t xml:space="preserve"> for the supply of fire-fighting water</w:t>
      </w:r>
      <w:r w:rsidR="006F3EE0">
        <w:t xml:space="preserve"> </w:t>
      </w:r>
      <w:r w:rsidR="00CE62AD">
        <w:t xml:space="preserve">means that all control and measuring elements now have to be doubled or redundant. The HyaDuo 2 D FL and HyaDuo 2 D FL Compact sets also feature two inlet devices </w:t>
      </w:r>
      <w:r w:rsidR="0061375A">
        <w:t>ensuring</w:t>
      </w:r>
      <w:r w:rsidR="00CE62AD">
        <w:t xml:space="preserve"> the hygienic separation of drinking water and fire-fighting water to EN 1717 type AB.</w:t>
      </w:r>
    </w:p>
    <w:p w14:paraId="5F3F3F2D" w14:textId="77777777" w:rsidR="00CE62AD" w:rsidRDefault="00CE62AD" w:rsidP="00CE62AD">
      <w:pPr>
        <w:jc w:val="both"/>
      </w:pPr>
    </w:p>
    <w:p w14:paraId="71776B94" w14:textId="4FC78784" w:rsidR="00CE62AD" w:rsidRDefault="00CE62AD" w:rsidP="00CE62AD">
      <w:pPr>
        <w:jc w:val="both"/>
      </w:pPr>
      <w:r>
        <w:t xml:space="preserve">The effective volume of the break tank is now 600 litres to compensate for any fluctuations in inflow rate and reliably supply the pumps with water for one minute. Newly designed suction elbows allow full use of the tank volume. A ball valve </w:t>
      </w:r>
      <w:r w:rsidR="000827D3">
        <w:t>near</w:t>
      </w:r>
      <w:r w:rsidR="00C424F7">
        <w:t xml:space="preserve"> the bottom of the tank</w:t>
      </w:r>
      <w:r>
        <w:t xml:space="preserve"> enables the operator to regularly check the function of mains water supply. A window for fill level indication shows the water level at all times.</w:t>
      </w:r>
    </w:p>
    <w:p w14:paraId="02963113" w14:textId="77777777" w:rsidR="00277762" w:rsidRDefault="00277762" w:rsidP="00277762">
      <w:pPr>
        <w:jc w:val="both"/>
      </w:pPr>
    </w:p>
    <w:p w14:paraId="43B46B80" w14:textId="7E66BA15" w:rsidR="00CE62AD" w:rsidRDefault="00277762" w:rsidP="00CE62AD">
      <w:pPr>
        <w:jc w:val="both"/>
      </w:pPr>
      <w:r>
        <w:t>To facilitate manoeuvring when installing the set, the hydraulic unit can be separated from the tank unit. The master switch is now outside the control cabinet as the new edition of DIN 14462 requires the entire place of installation to be protected against unauthorised access.</w:t>
      </w:r>
    </w:p>
    <w:p w14:paraId="767A1D5B" w14:textId="77777777" w:rsidR="00CE62AD" w:rsidRDefault="00CE62AD" w:rsidP="00CE62AD">
      <w:pPr>
        <w:jc w:val="both"/>
      </w:pPr>
    </w:p>
    <w:p w14:paraId="45C5140F" w14:textId="5F5860B9" w:rsidR="00CE62AD" w:rsidRDefault="009A7FFB" w:rsidP="00CE62AD">
      <w:pPr>
        <w:jc w:val="both"/>
      </w:pPr>
      <w:r>
        <w:t xml:space="preserve">In the event of fire, HyaDuo 2 D FL Compact supplies wall hydrant systems with up to 36 cubic metres of fire-fighting water per hour with only one </w:t>
      </w:r>
      <w:r w:rsidR="00991A9B">
        <w:t>duty</w:t>
      </w:r>
      <w:r>
        <w:t xml:space="preserve"> pump. The sets have been developed for supplying fire-fighting water to protect multiple dwellings, residential and office buildings, multi-storey car parks and hospitals, for example.</w:t>
      </w:r>
    </w:p>
    <w:p w14:paraId="349F61C9" w14:textId="77777777" w:rsidR="00CE62AD" w:rsidRDefault="00CE62AD" w:rsidP="00CE62AD">
      <w:pPr>
        <w:jc w:val="both"/>
      </w:pPr>
    </w:p>
    <w:p w14:paraId="00EAB841" w14:textId="02431A85" w:rsidR="00CE62AD" w:rsidRDefault="009A7FFB" w:rsidP="00CE62AD">
      <w:pPr>
        <w:jc w:val="both"/>
      </w:pPr>
      <w:r>
        <w:t>In the event of a lack of water, the new products from KSB now incorporate the option of either stopping the pumps or continuing operation. The default setting is for the pumps to stop if lack of water occurs. The operator can deactivate this function b</w:t>
      </w:r>
      <w:r w:rsidR="0082608B">
        <w:t>y</w:t>
      </w:r>
      <w:r>
        <w:t xml:space="preserve"> removing a wire jumper, which means the pumps will keep running </w:t>
      </w:r>
      <w:r w:rsidR="0082608B">
        <w:t>even in the event of</w:t>
      </w:r>
      <w:r>
        <w:t xml:space="preserve"> a lack of water.</w:t>
      </w:r>
    </w:p>
    <w:p w14:paraId="47AB58E6" w14:textId="77777777" w:rsidR="00CE62AD" w:rsidRDefault="00CE62AD" w:rsidP="00CE62AD">
      <w:pPr>
        <w:jc w:val="both"/>
      </w:pPr>
    </w:p>
    <w:p w14:paraId="137E5B66" w14:textId="40058414" w:rsidR="00CE62AD" w:rsidRDefault="009A7FFB" w:rsidP="009A7FFB">
      <w:pPr>
        <w:jc w:val="both"/>
      </w:pPr>
      <w:r>
        <w:t xml:space="preserve">The fully automatic break tank package booster set for fire fighting of the type series HyaDuo 2 D FL Compact is fitted with two fully redundant pumps, each of which has got </w:t>
      </w:r>
      <w:r w:rsidR="006A7F28">
        <w:t>its</w:t>
      </w:r>
      <w:r>
        <w:t xml:space="preserve"> own power and control circuit. Their redundant control systems continuously monitor pressure switches and limit switches for broken wires and short circuits. </w:t>
      </w:r>
    </w:p>
    <w:p w14:paraId="718506CF" w14:textId="77777777" w:rsidR="00CE62AD" w:rsidRDefault="00CE62AD" w:rsidP="009A7FFB">
      <w:pPr>
        <w:jc w:val="both"/>
        <w:rPr>
          <w:i/>
        </w:rPr>
      </w:pPr>
    </w:p>
    <w:p w14:paraId="17631A3A" w14:textId="4B2BAA9D" w:rsidR="00CE62AD" w:rsidRPr="00FE1B6F" w:rsidRDefault="00CE62AD" w:rsidP="00CE62AD">
      <w:pPr>
        <w:jc w:val="both"/>
        <w:rPr>
          <w:i/>
        </w:rPr>
      </w:pPr>
      <w:r>
        <w:rPr>
          <w:i/>
        </w:rPr>
        <w:t xml:space="preserve">Photo: The latest generation of fully automatic break tank package booster sets for </w:t>
      </w:r>
      <w:proofErr w:type="spellStart"/>
      <w:r>
        <w:rPr>
          <w:i/>
        </w:rPr>
        <w:t>fire fighting</w:t>
      </w:r>
      <w:proofErr w:type="spellEnd"/>
      <w:r>
        <w:rPr>
          <w:i/>
        </w:rPr>
        <w:t xml:space="preserve"> of the </w:t>
      </w:r>
      <w:proofErr w:type="spellStart"/>
      <w:r>
        <w:rPr>
          <w:i/>
        </w:rPr>
        <w:t>Hya</w:t>
      </w:r>
      <w:proofErr w:type="spellEnd"/>
      <w:r>
        <w:rPr>
          <w:i/>
        </w:rPr>
        <w:t xml:space="preserve">-Duo D FL Compact </w:t>
      </w:r>
      <w:r w:rsidR="00FE1B6F">
        <w:rPr>
          <w:i/>
        </w:rPr>
        <w:t xml:space="preserve">type series </w:t>
      </w:r>
      <w:r>
        <w:rPr>
          <w:i/>
        </w:rPr>
        <w:t xml:space="preserve">comply with all requirements of the </w:t>
      </w:r>
      <w:r w:rsidRPr="00FE1B6F">
        <w:rPr>
          <w:i/>
        </w:rPr>
        <w:t>revised DIN 14462: 2023-07 standard.</w:t>
      </w:r>
    </w:p>
    <w:p w14:paraId="5FDF5AE6" w14:textId="0B6DAC33" w:rsidR="004B0339" w:rsidRPr="00FE1B6F" w:rsidRDefault="004B0339" w:rsidP="00CE62AD">
      <w:pPr>
        <w:rPr>
          <w:i/>
        </w:rPr>
      </w:pPr>
    </w:p>
    <w:sectPr w:rsidR="004B0339" w:rsidRPr="00FE1B6F" w:rsidSect="00CE62AD">
      <w:headerReference w:type="even" r:id="rId10"/>
      <w:headerReference w:type="default" r:id="rId11"/>
      <w:footerReference w:type="default" r:id="rId12"/>
      <w:headerReference w:type="first" r:id="rId13"/>
      <w:pgSz w:w="11906" w:h="16838" w:code="9"/>
      <w:pgMar w:top="1134" w:right="2408" w:bottom="1702" w:left="1985"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2E65C6" w14:textId="77777777" w:rsidR="00B610D1" w:rsidRDefault="00B610D1">
      <w:r>
        <w:separator/>
      </w:r>
    </w:p>
  </w:endnote>
  <w:endnote w:type="continuationSeparator" w:id="0">
    <w:p w14:paraId="4591F046" w14:textId="77777777" w:rsidR="00B610D1" w:rsidRDefault="00B610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14:paraId="20CA4B2D" w14:textId="77777777">
      <w:trPr>
        <w:trHeight w:hRule="exact" w:val="1320"/>
      </w:trPr>
      <w:tc>
        <w:tcPr>
          <w:tcW w:w="9979" w:type="dxa"/>
        </w:tcPr>
        <w:p w14:paraId="744BF386" w14:textId="77777777" w:rsidR="00A4139C" w:rsidRDefault="00170D6E">
          <w:pPr>
            <w:pStyle w:val="Fuzeile"/>
          </w:pPr>
          <w:bookmarkStart w:id="2" w:name="Fusszeile"/>
          <w:r>
            <w:rPr>
              <w:noProof/>
              <w:lang w:eastAsia="en-GB"/>
            </w:rPr>
            <w:drawing>
              <wp:inline distT="0" distB="0" distL="0" distR="0" wp14:anchorId="493A4403" wp14:editId="5B4FF829">
                <wp:extent cx="6322695" cy="855980"/>
                <wp:effectExtent l="0" t="0" r="1905" b="1270"/>
                <wp:docPr id="14"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14:paraId="0BB2BB9E" w14:textId="77777777"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337C7C" w14:textId="77777777" w:rsidR="00B610D1" w:rsidRDefault="00B610D1">
      <w:r>
        <w:separator/>
      </w:r>
    </w:p>
  </w:footnote>
  <w:footnote w:type="continuationSeparator" w:id="0">
    <w:p w14:paraId="2EA9CADB" w14:textId="77777777" w:rsidR="00B610D1" w:rsidRDefault="00B610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246B5" w14:textId="77777777"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Pr>
        <w:rStyle w:val="Seitenzahl"/>
      </w:rPr>
      <w:t>1</w:t>
    </w:r>
    <w:r>
      <w:rPr>
        <w:rStyle w:val="Seitenzahl"/>
      </w:rPr>
      <w:fldChar w:fldCharType="end"/>
    </w:r>
  </w:p>
  <w:p w14:paraId="390F4846" w14:textId="77777777"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D734EC" w14:textId="67BEBBEC"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14:paraId="1C160CD1" w14:textId="77777777" w:rsidR="00A4139C" w:rsidRDefault="00170D6E">
    <w:pPr>
      <w:pStyle w:val="Kopfzeile"/>
      <w:jc w:val="right"/>
    </w:pPr>
    <w:r>
      <w:rPr>
        <w:noProof/>
        <w:lang w:eastAsia="en-GB"/>
      </w:rPr>
      <w:drawing>
        <wp:inline distT="0" distB="0" distL="0" distR="0" wp14:anchorId="3D3CD318" wp14:editId="617B10A4">
          <wp:extent cx="1190625" cy="513715"/>
          <wp:effectExtent l="0" t="0" r="9525" b="635"/>
          <wp:docPr id="13"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14:paraId="14F6618E" w14:textId="77777777" w:rsidR="00A4139C" w:rsidRDefault="00A4139C">
    <w:pPr>
      <w:pStyle w:val="Kopfzeile"/>
      <w:jc w:val="right"/>
    </w:pPr>
  </w:p>
  <w:p w14:paraId="4B093DD5" w14:textId="77777777" w:rsidR="00A4139C" w:rsidRDefault="00A4139C">
    <w:pPr>
      <w:pStyle w:val="Kopfzeile"/>
      <w:jc w:val="right"/>
    </w:pPr>
  </w:p>
  <w:p w14:paraId="3C95E587" w14:textId="77777777"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B5B9CD" w14:textId="77777777" w:rsidR="00A4139C" w:rsidRDefault="00A4139C">
    <w:pPr>
      <w:pStyle w:val="Kopfzeile"/>
      <w:jc w:val="right"/>
    </w:pPr>
  </w:p>
  <w:p w14:paraId="27A5A4EC" w14:textId="77777777" w:rsidR="00A4139C" w:rsidRDefault="00A4139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766D6"/>
    <w:multiLevelType w:val="hybridMultilevel"/>
    <w:tmpl w:val="FB64B5A4"/>
    <w:lvl w:ilvl="0" w:tplc="FCC267B8">
      <w:start w:val="1"/>
      <w:numFmt w:val="bullet"/>
      <w:lvlText w:val=""/>
      <w:lvlJc w:val="left"/>
      <w:pPr>
        <w:tabs>
          <w:tab w:val="num" w:pos="720"/>
        </w:tabs>
        <w:ind w:left="720" w:hanging="360"/>
      </w:pPr>
      <w:rPr>
        <w:rFonts w:ascii="Wingdings" w:hAnsi="Wingdings" w:hint="default"/>
      </w:rPr>
    </w:lvl>
    <w:lvl w:ilvl="1" w:tplc="72CA2CBE">
      <w:start w:val="1"/>
      <w:numFmt w:val="bullet"/>
      <w:lvlText w:val=""/>
      <w:lvlJc w:val="left"/>
      <w:pPr>
        <w:tabs>
          <w:tab w:val="num" w:pos="1440"/>
        </w:tabs>
        <w:ind w:left="1440" w:hanging="360"/>
      </w:pPr>
      <w:rPr>
        <w:rFonts w:ascii="Wingdings" w:hAnsi="Wingdings" w:hint="default"/>
      </w:rPr>
    </w:lvl>
    <w:lvl w:ilvl="2" w:tplc="FFC6FA6C" w:tentative="1">
      <w:start w:val="1"/>
      <w:numFmt w:val="bullet"/>
      <w:lvlText w:val=""/>
      <w:lvlJc w:val="left"/>
      <w:pPr>
        <w:tabs>
          <w:tab w:val="num" w:pos="2160"/>
        </w:tabs>
        <w:ind w:left="2160" w:hanging="360"/>
      </w:pPr>
      <w:rPr>
        <w:rFonts w:ascii="Wingdings" w:hAnsi="Wingdings" w:hint="default"/>
      </w:rPr>
    </w:lvl>
    <w:lvl w:ilvl="3" w:tplc="AF389F64" w:tentative="1">
      <w:start w:val="1"/>
      <w:numFmt w:val="bullet"/>
      <w:lvlText w:val=""/>
      <w:lvlJc w:val="left"/>
      <w:pPr>
        <w:tabs>
          <w:tab w:val="num" w:pos="2880"/>
        </w:tabs>
        <w:ind w:left="2880" w:hanging="360"/>
      </w:pPr>
      <w:rPr>
        <w:rFonts w:ascii="Wingdings" w:hAnsi="Wingdings" w:hint="default"/>
      </w:rPr>
    </w:lvl>
    <w:lvl w:ilvl="4" w:tplc="4DC87336" w:tentative="1">
      <w:start w:val="1"/>
      <w:numFmt w:val="bullet"/>
      <w:lvlText w:val=""/>
      <w:lvlJc w:val="left"/>
      <w:pPr>
        <w:tabs>
          <w:tab w:val="num" w:pos="3600"/>
        </w:tabs>
        <w:ind w:left="3600" w:hanging="360"/>
      </w:pPr>
      <w:rPr>
        <w:rFonts w:ascii="Wingdings" w:hAnsi="Wingdings" w:hint="default"/>
      </w:rPr>
    </w:lvl>
    <w:lvl w:ilvl="5" w:tplc="7556C2BC" w:tentative="1">
      <w:start w:val="1"/>
      <w:numFmt w:val="bullet"/>
      <w:lvlText w:val=""/>
      <w:lvlJc w:val="left"/>
      <w:pPr>
        <w:tabs>
          <w:tab w:val="num" w:pos="4320"/>
        </w:tabs>
        <w:ind w:left="4320" w:hanging="360"/>
      </w:pPr>
      <w:rPr>
        <w:rFonts w:ascii="Wingdings" w:hAnsi="Wingdings" w:hint="default"/>
      </w:rPr>
    </w:lvl>
    <w:lvl w:ilvl="6" w:tplc="5E706186" w:tentative="1">
      <w:start w:val="1"/>
      <w:numFmt w:val="bullet"/>
      <w:lvlText w:val=""/>
      <w:lvlJc w:val="left"/>
      <w:pPr>
        <w:tabs>
          <w:tab w:val="num" w:pos="5040"/>
        </w:tabs>
        <w:ind w:left="5040" w:hanging="360"/>
      </w:pPr>
      <w:rPr>
        <w:rFonts w:ascii="Wingdings" w:hAnsi="Wingdings" w:hint="default"/>
      </w:rPr>
    </w:lvl>
    <w:lvl w:ilvl="7" w:tplc="E244C8E4" w:tentative="1">
      <w:start w:val="1"/>
      <w:numFmt w:val="bullet"/>
      <w:lvlText w:val=""/>
      <w:lvlJc w:val="left"/>
      <w:pPr>
        <w:tabs>
          <w:tab w:val="num" w:pos="5760"/>
        </w:tabs>
        <w:ind w:left="5760" w:hanging="360"/>
      </w:pPr>
      <w:rPr>
        <w:rFonts w:ascii="Wingdings" w:hAnsi="Wingdings" w:hint="default"/>
      </w:rPr>
    </w:lvl>
    <w:lvl w:ilvl="8" w:tplc="737235AA"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2DAB7632-569D-4EA7-A141-38017B41FD6D}"/>
    <w:docVar w:name="dgnword-eventsink" w:val="495053312"/>
  </w:docVars>
  <w:rsids>
    <w:rsidRoot w:val="008D1969"/>
    <w:rsid w:val="00010238"/>
    <w:rsid w:val="000827D3"/>
    <w:rsid w:val="000D5E43"/>
    <w:rsid w:val="00135F7C"/>
    <w:rsid w:val="00170D6E"/>
    <w:rsid w:val="002009B0"/>
    <w:rsid w:val="00210170"/>
    <w:rsid w:val="00224D95"/>
    <w:rsid w:val="00277762"/>
    <w:rsid w:val="002D7B54"/>
    <w:rsid w:val="002E5901"/>
    <w:rsid w:val="00323A25"/>
    <w:rsid w:val="0033361A"/>
    <w:rsid w:val="00334863"/>
    <w:rsid w:val="00351E2B"/>
    <w:rsid w:val="00362A5F"/>
    <w:rsid w:val="003971CC"/>
    <w:rsid w:val="003B3FF5"/>
    <w:rsid w:val="00444D09"/>
    <w:rsid w:val="00492AB3"/>
    <w:rsid w:val="004A2EB4"/>
    <w:rsid w:val="004A6F3C"/>
    <w:rsid w:val="004B0339"/>
    <w:rsid w:val="004B4A5F"/>
    <w:rsid w:val="00514B86"/>
    <w:rsid w:val="00544D0E"/>
    <w:rsid w:val="005579B5"/>
    <w:rsid w:val="00563D15"/>
    <w:rsid w:val="005A0622"/>
    <w:rsid w:val="005A74BA"/>
    <w:rsid w:val="0061375A"/>
    <w:rsid w:val="00635E1B"/>
    <w:rsid w:val="00657FE8"/>
    <w:rsid w:val="006A7F28"/>
    <w:rsid w:val="006F3EE0"/>
    <w:rsid w:val="007267FB"/>
    <w:rsid w:val="00774E20"/>
    <w:rsid w:val="0082608B"/>
    <w:rsid w:val="00847223"/>
    <w:rsid w:val="0086737F"/>
    <w:rsid w:val="008730AE"/>
    <w:rsid w:val="008D1969"/>
    <w:rsid w:val="00915D76"/>
    <w:rsid w:val="00947AA4"/>
    <w:rsid w:val="009577B6"/>
    <w:rsid w:val="009602AC"/>
    <w:rsid w:val="00991A9B"/>
    <w:rsid w:val="009A7FFB"/>
    <w:rsid w:val="009B036D"/>
    <w:rsid w:val="00A008CD"/>
    <w:rsid w:val="00A17B45"/>
    <w:rsid w:val="00A4139C"/>
    <w:rsid w:val="00A61931"/>
    <w:rsid w:val="00AC1B2C"/>
    <w:rsid w:val="00B01820"/>
    <w:rsid w:val="00B12B37"/>
    <w:rsid w:val="00B610D1"/>
    <w:rsid w:val="00B9316D"/>
    <w:rsid w:val="00BB6654"/>
    <w:rsid w:val="00BC78D1"/>
    <w:rsid w:val="00BD2409"/>
    <w:rsid w:val="00C424F7"/>
    <w:rsid w:val="00C476F0"/>
    <w:rsid w:val="00C844DE"/>
    <w:rsid w:val="00CE62AD"/>
    <w:rsid w:val="00D02F90"/>
    <w:rsid w:val="00D76206"/>
    <w:rsid w:val="00DC3D8E"/>
    <w:rsid w:val="00DE6114"/>
    <w:rsid w:val="00E35697"/>
    <w:rsid w:val="00E5619E"/>
    <w:rsid w:val="00F13753"/>
    <w:rsid w:val="00F226E2"/>
    <w:rsid w:val="00F353AA"/>
    <w:rsid w:val="00F46EC8"/>
    <w:rsid w:val="00F66F79"/>
    <w:rsid w:val="00FD1F07"/>
    <w:rsid w:val="00FE1B6F"/>
    <w:rsid w:val="00FF13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9B89889"/>
  <w15:chartTrackingRefBased/>
  <w15:docId w15:val="{734259E6-94AB-4CE1-8EC5-5BA6C6D1C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customStyle="1" w:styleId="Default">
    <w:name w:val="Default"/>
    <w:rsid w:val="00C476F0"/>
    <w:pPr>
      <w:autoSpaceDE w:val="0"/>
      <w:autoSpaceDN w:val="0"/>
      <w:adjustRightInd w:val="0"/>
    </w:pPr>
    <w:rPr>
      <w:rFonts w:ascii="Arial" w:hAnsi="Arial" w:cs="Arial"/>
      <w:color w:val="000000"/>
      <w:sz w:val="24"/>
      <w:szCs w:val="24"/>
    </w:rPr>
  </w:style>
  <w:style w:type="character" w:styleId="Kommentarzeichen">
    <w:name w:val="annotation reference"/>
    <w:basedOn w:val="Absatz-Standardschriftart"/>
    <w:semiHidden/>
    <w:unhideWhenUsed/>
    <w:rsid w:val="00F46EC8"/>
    <w:rPr>
      <w:sz w:val="16"/>
      <w:szCs w:val="16"/>
    </w:rPr>
  </w:style>
  <w:style w:type="paragraph" w:styleId="Kommentartext">
    <w:name w:val="annotation text"/>
    <w:basedOn w:val="Standard"/>
    <w:link w:val="KommentartextZchn"/>
    <w:semiHidden/>
    <w:unhideWhenUsed/>
    <w:rsid w:val="00F46EC8"/>
    <w:rPr>
      <w:sz w:val="20"/>
      <w:szCs w:val="20"/>
    </w:rPr>
  </w:style>
  <w:style w:type="character" w:customStyle="1" w:styleId="KommentartextZchn">
    <w:name w:val="Kommentartext Zchn"/>
    <w:basedOn w:val="Absatz-Standardschriftart"/>
    <w:link w:val="Kommentartext"/>
    <w:semiHidden/>
    <w:rsid w:val="00F46EC8"/>
    <w:rPr>
      <w:rFonts w:ascii="Arial" w:hAnsi="Arial" w:cs="Arial"/>
      <w:lang w:val="en-GB" w:eastAsia="de-DE"/>
    </w:rPr>
  </w:style>
  <w:style w:type="paragraph" w:styleId="Kommentarthema">
    <w:name w:val="annotation subject"/>
    <w:basedOn w:val="Kommentartext"/>
    <w:next w:val="Kommentartext"/>
    <w:link w:val="KommentarthemaZchn"/>
    <w:semiHidden/>
    <w:unhideWhenUsed/>
    <w:rsid w:val="00F46EC8"/>
    <w:rPr>
      <w:b/>
      <w:bCs/>
    </w:rPr>
  </w:style>
  <w:style w:type="character" w:customStyle="1" w:styleId="KommentarthemaZchn">
    <w:name w:val="Kommentarthema Zchn"/>
    <w:basedOn w:val="KommentartextZchn"/>
    <w:link w:val="Kommentarthema"/>
    <w:semiHidden/>
    <w:rsid w:val="00F46EC8"/>
    <w:rPr>
      <w:rFonts w:ascii="Arial" w:hAnsi="Arial" w:cs="Arial"/>
      <w:b/>
      <w:bCs/>
      <w:lang w:val="en-GB" w:eastAsia="de-DE"/>
    </w:rPr>
  </w:style>
  <w:style w:type="paragraph" w:styleId="Sprechblasentext">
    <w:name w:val="Balloon Text"/>
    <w:basedOn w:val="Standard"/>
    <w:link w:val="SprechblasentextZchn"/>
    <w:semiHidden/>
    <w:unhideWhenUsed/>
    <w:rsid w:val="00F46EC8"/>
    <w:rPr>
      <w:rFonts w:ascii="Segoe UI" w:hAnsi="Segoe UI" w:cs="Segoe UI"/>
      <w:sz w:val="18"/>
      <w:szCs w:val="18"/>
    </w:rPr>
  </w:style>
  <w:style w:type="character" w:customStyle="1" w:styleId="SprechblasentextZchn">
    <w:name w:val="Sprechblasentext Zchn"/>
    <w:basedOn w:val="Absatz-Standardschriftart"/>
    <w:link w:val="Sprechblasentext"/>
    <w:semiHidden/>
    <w:rsid w:val="00F46EC8"/>
    <w:rPr>
      <w:rFonts w:ascii="Segoe UI" w:hAnsi="Segoe UI" w:cs="Segoe UI"/>
      <w:sz w:val="18"/>
      <w:szCs w:val="18"/>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192687">
      <w:bodyDiv w:val="1"/>
      <w:marLeft w:val="0"/>
      <w:marRight w:val="0"/>
      <w:marTop w:val="0"/>
      <w:marBottom w:val="0"/>
      <w:divBdr>
        <w:top w:val="none" w:sz="0" w:space="0" w:color="auto"/>
        <w:left w:val="none" w:sz="0" w:space="0" w:color="auto"/>
        <w:bottom w:val="none" w:sz="0" w:space="0" w:color="auto"/>
        <w:right w:val="none" w:sz="0" w:space="0" w:color="auto"/>
      </w:divBdr>
      <w:divsChild>
        <w:div w:id="45691597">
          <w:marLeft w:val="490"/>
          <w:marRight w:val="0"/>
          <w:marTop w:val="240"/>
          <w:marBottom w:val="0"/>
          <w:divBdr>
            <w:top w:val="none" w:sz="0" w:space="0" w:color="auto"/>
            <w:left w:val="none" w:sz="0" w:space="0" w:color="auto"/>
            <w:bottom w:val="none" w:sz="0" w:space="0" w:color="auto"/>
            <w:right w:val="none" w:sz="0" w:space="0" w:color="auto"/>
          </w:divBdr>
        </w:div>
      </w:divsChild>
    </w:div>
    <w:div w:id="1011683721">
      <w:bodyDiv w:val="1"/>
      <w:marLeft w:val="0"/>
      <w:marRight w:val="0"/>
      <w:marTop w:val="0"/>
      <w:marBottom w:val="0"/>
      <w:divBdr>
        <w:top w:val="none" w:sz="0" w:space="0" w:color="auto"/>
        <w:left w:val="none" w:sz="0" w:space="0" w:color="auto"/>
        <w:bottom w:val="none" w:sz="0" w:space="0" w:color="auto"/>
        <w:right w:val="none" w:sz="0" w:space="0" w:color="auto"/>
      </w:divBdr>
    </w:div>
    <w:div w:id="1539780076">
      <w:bodyDiv w:val="1"/>
      <w:marLeft w:val="0"/>
      <w:marRight w:val="0"/>
      <w:marTop w:val="0"/>
      <w:marBottom w:val="0"/>
      <w:divBdr>
        <w:top w:val="none" w:sz="0" w:space="0" w:color="auto"/>
        <w:left w:val="none" w:sz="0" w:space="0" w:color="auto"/>
        <w:bottom w:val="none" w:sz="0" w:space="0" w:color="auto"/>
        <w:right w:val="none" w:sz="0" w:space="0" w:color="auto"/>
      </w:divBdr>
    </w:div>
    <w:div w:id="1733038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2274439-98B0-4D90-B641-85FE3200E5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B2D0389-0B20-4CD2-83AE-AAA17A4AAFD8}">
  <ds:schemaRefs>
    <ds:schemaRef ds:uri="http://schemas.microsoft.com/sharepoint/v3/contenttype/forms"/>
  </ds:schemaRefs>
</ds:datastoreItem>
</file>

<file path=customXml/itemProps3.xml><?xml version="1.0" encoding="utf-8"?>
<ds:datastoreItem xmlns:ds="http://schemas.openxmlformats.org/officeDocument/2006/customXml" ds:itemID="{37D2195A-DCC7-426A-93CB-C351994D981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474</Words>
  <Characters>2343</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 Germany</vt:lpstr>
    </vt:vector>
  </TitlesOfParts>
  <Company>KSB Group</Company>
  <LinksUpToDate>false</LinksUpToDate>
  <CharactersWithSpaces>2812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 Germany</dc:title>
  <dc:subject/>
  <dc:creator>Pauly, Christoph</dc:creator>
  <cp:keywords/>
  <dc:description/>
  <cp:lastModifiedBy>Rauchheld, Yvonne</cp:lastModifiedBy>
  <cp:revision>20</cp:revision>
  <cp:lastPrinted>2024-01-10T10:26:00Z</cp:lastPrinted>
  <dcterms:created xsi:type="dcterms:W3CDTF">2023-10-11T14:34:00Z</dcterms:created>
  <dcterms:modified xsi:type="dcterms:W3CDTF">2024-01-12T10:42:00Z</dcterms:modified>
</cp:coreProperties>
</file>