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9F19EB" w14:textId="77777777" w:rsidR="00F17252" w:rsidRPr="00A71EF3" w:rsidRDefault="00F17252" w:rsidP="00F17252">
      <w:pPr>
        <w:jc w:val="both"/>
        <w:rPr>
          <w:b/>
          <w:sz w:val="22"/>
          <w:szCs w:val="22"/>
        </w:rPr>
      </w:pPr>
      <w:bookmarkStart w:id="0" w:name="_GoBack"/>
      <w:bookmarkEnd w:id="0"/>
      <w:r w:rsidRPr="00A71EF3">
        <w:rPr>
          <w:b/>
          <w:sz w:val="22"/>
          <w:szCs w:val="22"/>
        </w:rPr>
        <w:t>Neue Inlinepumpen für die Gebäudetechnik</w:t>
      </w:r>
    </w:p>
    <w:p w14:paraId="79B225C2" w14:textId="77777777" w:rsidR="00F17252" w:rsidRPr="00A71EF3" w:rsidRDefault="00F17252" w:rsidP="00F17252">
      <w:pPr>
        <w:jc w:val="both"/>
        <w:rPr>
          <w:sz w:val="22"/>
          <w:szCs w:val="22"/>
        </w:rPr>
      </w:pPr>
    </w:p>
    <w:p w14:paraId="425F7811" w14:textId="77777777" w:rsidR="00F17252" w:rsidRPr="00A71EF3" w:rsidRDefault="00F17252" w:rsidP="00F17252">
      <w:pPr>
        <w:jc w:val="both"/>
        <w:rPr>
          <w:sz w:val="22"/>
          <w:szCs w:val="22"/>
        </w:rPr>
      </w:pPr>
      <w:r w:rsidRPr="00A71EF3">
        <w:rPr>
          <w:sz w:val="22"/>
          <w:szCs w:val="22"/>
        </w:rPr>
        <w:t>Als einer der Höhepunkte der diesjährigen ISH (</w:t>
      </w:r>
      <w:r w:rsidRPr="00A71EF3">
        <w:rPr>
          <w:rFonts w:cs="Arial"/>
          <w:bCs/>
          <w:sz w:val="22"/>
          <w:szCs w:val="22"/>
          <w:shd w:val="clear" w:color="auto" w:fill="FFFFFF"/>
        </w:rPr>
        <w:t>13. bis 17. März 2023)</w:t>
      </w:r>
      <w:r w:rsidRPr="00A71EF3">
        <w:rPr>
          <w:sz w:val="22"/>
          <w:szCs w:val="22"/>
        </w:rPr>
        <w:t xml:space="preserve"> in Frankfurt (Main) präsentiert die KSB SE &amp; Co. KGaA eine neue Baureihe von voll integrierten Inline-Wasserpumpen.</w:t>
      </w:r>
      <w:r w:rsidR="00964877" w:rsidRPr="00A71EF3">
        <w:rPr>
          <w:sz w:val="22"/>
          <w:szCs w:val="22"/>
        </w:rPr>
        <w:t xml:space="preserve"> </w:t>
      </w:r>
      <w:r w:rsidRPr="00A71EF3">
        <w:rPr>
          <w:sz w:val="22"/>
          <w:szCs w:val="22"/>
        </w:rPr>
        <w:t>Bei der Entwicklung der intelligenten und hocheffizienten EtaLine Pro</w:t>
      </w:r>
      <w:r w:rsidR="00C3173C" w:rsidRPr="00A71EF3">
        <w:rPr>
          <w:sz w:val="22"/>
          <w:szCs w:val="22"/>
        </w:rPr>
        <w:t>-</w:t>
      </w:r>
      <w:r w:rsidRPr="00A71EF3">
        <w:rPr>
          <w:sz w:val="22"/>
          <w:szCs w:val="22"/>
        </w:rPr>
        <w:t>Baureihe legten die Entwickler ihren Fokus nicht nur auf einen extrem niedrigen Energieverbrauch, sondern auch auf den sparsamen Umgang mit den eingesetzten Werkstoffen.</w:t>
      </w:r>
    </w:p>
    <w:p w14:paraId="638DEFED" w14:textId="77777777" w:rsidR="00F17252" w:rsidRPr="00A71EF3" w:rsidRDefault="00F17252" w:rsidP="00F17252">
      <w:pPr>
        <w:jc w:val="both"/>
        <w:rPr>
          <w:sz w:val="22"/>
          <w:szCs w:val="22"/>
        </w:rPr>
      </w:pPr>
    </w:p>
    <w:p w14:paraId="573A4970" w14:textId="0A0EE7DA" w:rsidR="00F17252" w:rsidRPr="00A71EF3" w:rsidRDefault="00F17252" w:rsidP="00F17252">
      <w:pPr>
        <w:jc w:val="both"/>
        <w:rPr>
          <w:sz w:val="22"/>
          <w:szCs w:val="22"/>
        </w:rPr>
      </w:pPr>
      <w:r w:rsidRPr="00A71EF3">
        <w:rPr>
          <w:sz w:val="22"/>
          <w:szCs w:val="22"/>
        </w:rPr>
        <w:t xml:space="preserve">Durch eine auf </w:t>
      </w:r>
      <w:r w:rsidR="00C71F26" w:rsidRPr="00A71EF3">
        <w:rPr>
          <w:sz w:val="22"/>
          <w:szCs w:val="22"/>
        </w:rPr>
        <w:t>höhere</w:t>
      </w:r>
      <w:r w:rsidRPr="00A71EF3">
        <w:rPr>
          <w:sz w:val="22"/>
          <w:szCs w:val="22"/>
        </w:rPr>
        <w:t xml:space="preserve"> Drehzahlen ausgelegte Hydraulik konnten die Entwickler eine sehr kompakte Bauweise erreichen.</w:t>
      </w:r>
      <w:r w:rsidR="00964877" w:rsidRPr="00A71EF3">
        <w:rPr>
          <w:sz w:val="22"/>
          <w:szCs w:val="22"/>
        </w:rPr>
        <w:t xml:space="preserve"> </w:t>
      </w:r>
      <w:r w:rsidRPr="00A71EF3">
        <w:rPr>
          <w:sz w:val="22"/>
          <w:szCs w:val="22"/>
        </w:rPr>
        <w:t>Dank der so deutlich erhöhten Leistungsdichte benötig</w:t>
      </w:r>
      <w:r w:rsidR="00402926" w:rsidRPr="00A71EF3">
        <w:rPr>
          <w:sz w:val="22"/>
          <w:szCs w:val="22"/>
        </w:rPr>
        <w:t>en</w:t>
      </w:r>
      <w:r w:rsidRPr="00A71EF3">
        <w:rPr>
          <w:sz w:val="22"/>
          <w:szCs w:val="22"/>
        </w:rPr>
        <w:t xml:space="preserve"> die neuen Pumpen im Vergleich zu </w:t>
      </w:r>
      <w:r w:rsidR="00402926" w:rsidRPr="00A71EF3">
        <w:rPr>
          <w:sz w:val="22"/>
          <w:szCs w:val="22"/>
        </w:rPr>
        <w:t>d</w:t>
      </w:r>
      <w:r w:rsidRPr="00A71EF3">
        <w:rPr>
          <w:sz w:val="22"/>
          <w:szCs w:val="22"/>
        </w:rPr>
        <w:t>e</w:t>
      </w:r>
      <w:r w:rsidR="00402926" w:rsidRPr="00A71EF3">
        <w:rPr>
          <w:sz w:val="22"/>
          <w:szCs w:val="22"/>
        </w:rPr>
        <w:t>n</w:t>
      </w:r>
      <w:r w:rsidRPr="00A71EF3">
        <w:rPr>
          <w:sz w:val="22"/>
          <w:szCs w:val="22"/>
        </w:rPr>
        <w:t xml:space="preserve"> herkömmlichen Aggregat</w:t>
      </w:r>
      <w:r w:rsidR="00402926" w:rsidRPr="00A71EF3">
        <w:rPr>
          <w:sz w:val="22"/>
          <w:szCs w:val="22"/>
        </w:rPr>
        <w:t>en</w:t>
      </w:r>
      <w:r w:rsidRPr="00A71EF3">
        <w:rPr>
          <w:sz w:val="22"/>
          <w:szCs w:val="22"/>
        </w:rPr>
        <w:t xml:space="preserve"> bis zu 44 Prozent weniger Aluminium, 49 Prozent weniger Grauguss und 68 Prozent weniger Elektroblech sowie 73 Prozent weniger Kupfer.</w:t>
      </w:r>
    </w:p>
    <w:p w14:paraId="72202E91" w14:textId="77777777" w:rsidR="00F17252" w:rsidRPr="00A71EF3" w:rsidRDefault="00F17252" w:rsidP="00F17252">
      <w:pPr>
        <w:jc w:val="both"/>
        <w:rPr>
          <w:sz w:val="22"/>
          <w:szCs w:val="22"/>
        </w:rPr>
      </w:pPr>
    </w:p>
    <w:p w14:paraId="57A76B8F" w14:textId="322D441D" w:rsidR="00964877" w:rsidRPr="00A71EF3" w:rsidRDefault="00F17252" w:rsidP="00964877">
      <w:pPr>
        <w:jc w:val="both"/>
        <w:rPr>
          <w:sz w:val="22"/>
          <w:szCs w:val="22"/>
        </w:rPr>
      </w:pPr>
      <w:r w:rsidRPr="00A71EF3">
        <w:rPr>
          <w:sz w:val="22"/>
          <w:szCs w:val="22"/>
        </w:rPr>
        <w:t>Die in den Motoren verbauten Magnete enthalten keine seltenen Erden, die große Umweltschäden bei ihrer Gewinnung verursachen, sondern es handelt sich um klassische Ferritmagnete.</w:t>
      </w:r>
      <w:r w:rsidR="00964877" w:rsidRPr="00A71EF3">
        <w:rPr>
          <w:sz w:val="22"/>
          <w:szCs w:val="22"/>
        </w:rPr>
        <w:t xml:space="preserve"> Die Motorleistung reicht von 0,8 bis 2,6 kW. Mit ihrem weiten Spannungsbereich von 380 bis 480 Volt bei 50 oder 60 Hz sind die Aggregate weltweit einsetzbar. Dazu tragen auch die internationalen Produktzertifizierungen wie</w:t>
      </w:r>
      <w:r w:rsidR="00FE7F8A" w:rsidRPr="00A71EF3">
        <w:rPr>
          <w:sz w:val="22"/>
          <w:szCs w:val="22"/>
        </w:rPr>
        <w:t xml:space="preserve"> z</w:t>
      </w:r>
      <w:r w:rsidR="00A71EF3" w:rsidRPr="00A71EF3">
        <w:rPr>
          <w:sz w:val="22"/>
          <w:szCs w:val="22"/>
        </w:rPr>
        <w:t xml:space="preserve">um </w:t>
      </w:r>
      <w:r w:rsidR="00FE7F8A" w:rsidRPr="00A71EF3">
        <w:rPr>
          <w:sz w:val="22"/>
          <w:szCs w:val="22"/>
        </w:rPr>
        <w:t>B</w:t>
      </w:r>
      <w:r w:rsidR="00A71EF3" w:rsidRPr="00A71EF3">
        <w:rPr>
          <w:sz w:val="22"/>
          <w:szCs w:val="22"/>
        </w:rPr>
        <w:t>eispiel</w:t>
      </w:r>
      <w:r w:rsidR="00C5082F" w:rsidRPr="00A71EF3">
        <w:rPr>
          <w:sz w:val="22"/>
          <w:szCs w:val="22"/>
        </w:rPr>
        <w:t xml:space="preserve"> CE, UKCA und </w:t>
      </w:r>
      <w:r w:rsidR="00964877" w:rsidRPr="00A71EF3">
        <w:rPr>
          <w:sz w:val="22"/>
          <w:szCs w:val="22"/>
        </w:rPr>
        <w:t>UR/UL bei.</w:t>
      </w:r>
    </w:p>
    <w:p w14:paraId="4CD62298" w14:textId="77777777" w:rsidR="00CA4A9C" w:rsidRPr="00A71EF3" w:rsidRDefault="00CA4A9C" w:rsidP="006E0CF8">
      <w:pPr>
        <w:jc w:val="both"/>
        <w:rPr>
          <w:sz w:val="22"/>
          <w:szCs w:val="22"/>
        </w:rPr>
      </w:pPr>
    </w:p>
    <w:p w14:paraId="4DF9EC4C" w14:textId="0D9AE34E" w:rsidR="00CA4A9C" w:rsidRPr="00A71EF3" w:rsidRDefault="00CA4A9C" w:rsidP="006E0CF8">
      <w:pPr>
        <w:jc w:val="both"/>
        <w:rPr>
          <w:sz w:val="22"/>
          <w:szCs w:val="22"/>
        </w:rPr>
      </w:pPr>
      <w:r w:rsidRPr="00A71EF3">
        <w:rPr>
          <w:sz w:val="22"/>
          <w:szCs w:val="22"/>
        </w:rPr>
        <w:t>Die neuen Aggregate bieten ein hohes Maß an Planungssicherheit, da sie über einige Pumpenfunktionen, wie</w:t>
      </w:r>
      <w:r w:rsidR="00626635" w:rsidRPr="00A71EF3">
        <w:rPr>
          <w:sz w:val="22"/>
          <w:szCs w:val="22"/>
        </w:rPr>
        <w:t xml:space="preserve"> </w:t>
      </w:r>
      <w:r w:rsidRPr="00A71EF3">
        <w:rPr>
          <w:sz w:val="22"/>
          <w:szCs w:val="22"/>
        </w:rPr>
        <w:t>Dynamic Control, sensorlose Regelung und Mehrpumpen</w:t>
      </w:r>
      <w:r w:rsidRPr="00A71EF3">
        <w:rPr>
          <w:sz w:val="22"/>
          <w:szCs w:val="22"/>
        </w:rPr>
        <w:softHyphen/>
        <w:t>betrieb sowie Wärmemengenerfassung verfügen. Diese intelligenten Funktionen erlauben es auch nach dem Einbau der Pumpen Anpassungen an der Fahrweise oder den Betriebspunkten vorzunehmen. Dabei stellen die Pumpen ihren Förderstrom und ihre Förderhöhe anhand eines Algorithmus so ein, dass sich ihr Betriebspunkt entlang einer programmierten Regelkurve verschiebt. Dank verschiedener digitaler Schnitt</w:t>
      </w:r>
      <w:r w:rsidRPr="00A71EF3">
        <w:rPr>
          <w:sz w:val="22"/>
          <w:szCs w:val="22"/>
        </w:rPr>
        <w:softHyphen/>
        <w:t>stellen ist die Integration in moderne Gebäudeleit</w:t>
      </w:r>
      <w:r w:rsidRPr="00A71EF3">
        <w:rPr>
          <w:sz w:val="22"/>
          <w:szCs w:val="22"/>
        </w:rPr>
        <w:softHyphen/>
        <w:t>systeme problemlos möglich.</w:t>
      </w:r>
    </w:p>
    <w:p w14:paraId="07EAF99A" w14:textId="77777777" w:rsidR="00964877" w:rsidRPr="00A71EF3" w:rsidRDefault="00964877" w:rsidP="00964877">
      <w:pPr>
        <w:jc w:val="both"/>
        <w:rPr>
          <w:sz w:val="22"/>
          <w:szCs w:val="22"/>
        </w:rPr>
      </w:pPr>
    </w:p>
    <w:p w14:paraId="5C764230" w14:textId="09EEA13E" w:rsidR="00F17252" w:rsidRPr="00A71EF3" w:rsidRDefault="00F17252" w:rsidP="00F17252">
      <w:pPr>
        <w:jc w:val="both"/>
        <w:rPr>
          <w:sz w:val="22"/>
          <w:szCs w:val="22"/>
        </w:rPr>
      </w:pPr>
      <w:r w:rsidRPr="00A71EF3">
        <w:rPr>
          <w:sz w:val="22"/>
          <w:szCs w:val="22"/>
        </w:rPr>
        <w:t xml:space="preserve">Mit nur </w:t>
      </w:r>
      <w:r w:rsidR="004120D1" w:rsidRPr="00A71EF3">
        <w:rPr>
          <w:sz w:val="22"/>
          <w:szCs w:val="22"/>
        </w:rPr>
        <w:t xml:space="preserve">fünf </w:t>
      </w:r>
      <w:r w:rsidRPr="00A71EF3">
        <w:rPr>
          <w:sz w:val="22"/>
          <w:szCs w:val="22"/>
        </w:rPr>
        <w:t xml:space="preserve">hydraulischen Baugrößen decken die sehr leise arbeitenden Blockpumpen ein breites </w:t>
      </w:r>
      <w:r w:rsidR="00402926" w:rsidRPr="00A71EF3">
        <w:rPr>
          <w:sz w:val="22"/>
          <w:szCs w:val="22"/>
        </w:rPr>
        <w:t>K</w:t>
      </w:r>
      <w:r w:rsidRPr="00A71EF3">
        <w:rPr>
          <w:sz w:val="22"/>
          <w:szCs w:val="22"/>
        </w:rPr>
        <w:t>ennfeld ab.</w:t>
      </w:r>
      <w:r w:rsidR="00964877" w:rsidRPr="00A71EF3">
        <w:rPr>
          <w:sz w:val="22"/>
          <w:szCs w:val="22"/>
        </w:rPr>
        <w:t xml:space="preserve"> </w:t>
      </w:r>
      <w:r w:rsidRPr="00A71EF3">
        <w:rPr>
          <w:sz w:val="22"/>
          <w:szCs w:val="22"/>
        </w:rPr>
        <w:t xml:space="preserve">Die größte Fördermenge beträgt 63,6 Kubikmeter in der Stunde und die höchste Förderhöhe liegt bei </w:t>
      </w:r>
      <w:r w:rsidR="004120D1" w:rsidRPr="00A71EF3">
        <w:rPr>
          <w:sz w:val="22"/>
          <w:szCs w:val="22"/>
        </w:rPr>
        <w:t>42,9</w:t>
      </w:r>
      <w:r w:rsidRPr="00A71EF3">
        <w:rPr>
          <w:sz w:val="22"/>
          <w:szCs w:val="22"/>
        </w:rPr>
        <w:t xml:space="preserve"> Metern.</w:t>
      </w:r>
      <w:r w:rsidR="00CA4A9C" w:rsidRPr="00A71EF3">
        <w:rPr>
          <w:sz w:val="22"/>
          <w:szCs w:val="22"/>
        </w:rPr>
        <w:t xml:space="preserve"> </w:t>
      </w:r>
      <w:r w:rsidRPr="00A71EF3">
        <w:rPr>
          <w:sz w:val="22"/>
          <w:szCs w:val="22"/>
        </w:rPr>
        <w:t>Bei der Konstruktion der neuen Baureihe achteten die Entwickler besonders auf ein hohes Maß an Servicefreundlichkeit. Genormte Gleitringdichtung</w:t>
      </w:r>
      <w:r w:rsidR="00402926" w:rsidRPr="00A71EF3">
        <w:rPr>
          <w:sz w:val="22"/>
          <w:szCs w:val="22"/>
        </w:rPr>
        <w:t>en</w:t>
      </w:r>
      <w:r w:rsidRPr="00A71EF3">
        <w:rPr>
          <w:sz w:val="22"/>
          <w:szCs w:val="22"/>
        </w:rPr>
        <w:t xml:space="preserve"> und eine reduzierte Bauteilevielfalt sorgen im Bedarfsfall in Kombination mit einem weltweit ausgebauten Servicenetz für die schnelle Verfügbarkeit von Ersatzteilen.</w:t>
      </w:r>
    </w:p>
    <w:p w14:paraId="3FD622F3" w14:textId="77777777" w:rsidR="00964877" w:rsidRPr="00A71EF3" w:rsidRDefault="00964877" w:rsidP="00964877">
      <w:pPr>
        <w:jc w:val="both"/>
        <w:rPr>
          <w:sz w:val="22"/>
          <w:szCs w:val="22"/>
        </w:rPr>
      </w:pPr>
    </w:p>
    <w:p w14:paraId="15079341" w14:textId="0FACEB2D" w:rsidR="00F17252" w:rsidRPr="00A71EF3" w:rsidRDefault="00964877" w:rsidP="00F17252">
      <w:pPr>
        <w:jc w:val="both"/>
        <w:rPr>
          <w:sz w:val="22"/>
          <w:szCs w:val="22"/>
        </w:rPr>
      </w:pPr>
      <w:r w:rsidRPr="00A71EF3">
        <w:rPr>
          <w:sz w:val="22"/>
          <w:szCs w:val="22"/>
        </w:rPr>
        <w:t>Die Konstruktion und die Gleitringdichtungen sind für Betriebsdrücke bis</w:t>
      </w:r>
      <w:r w:rsidR="00A71EF3" w:rsidRPr="00A71EF3">
        <w:rPr>
          <w:sz w:val="22"/>
          <w:szCs w:val="22"/>
        </w:rPr>
        <w:t xml:space="preserve"> </w:t>
      </w:r>
      <w:r w:rsidR="004120D1" w:rsidRPr="00A71EF3">
        <w:rPr>
          <w:sz w:val="22"/>
          <w:szCs w:val="22"/>
        </w:rPr>
        <w:t xml:space="preserve">16 bar </w:t>
      </w:r>
      <w:r w:rsidRPr="00A71EF3">
        <w:rPr>
          <w:sz w:val="22"/>
          <w:szCs w:val="22"/>
        </w:rPr>
        <w:t>ausgelegt. Standardmäßig kommen Gleitringdichtungen zum Einsatz, die</w:t>
      </w:r>
      <w:r w:rsidR="004120D1" w:rsidRPr="00A71EF3">
        <w:rPr>
          <w:sz w:val="22"/>
          <w:szCs w:val="22"/>
        </w:rPr>
        <w:t xml:space="preserve"> in Abhängigkeit von der Anwendung und des Fördermediums</w:t>
      </w:r>
      <w:r w:rsidRPr="00A71EF3">
        <w:rPr>
          <w:sz w:val="22"/>
          <w:szCs w:val="22"/>
        </w:rPr>
        <w:t xml:space="preserve"> für eine maximale Betriebstemperatur von 120 °C ausgelegt sind. </w:t>
      </w:r>
      <w:r w:rsidR="00F17252" w:rsidRPr="00A71EF3">
        <w:rPr>
          <w:sz w:val="22"/>
          <w:szCs w:val="22"/>
        </w:rPr>
        <w:t>Eine KTL-Beschichtung</w:t>
      </w:r>
      <w:r w:rsidR="00402926" w:rsidRPr="00A71EF3">
        <w:rPr>
          <w:sz w:val="22"/>
          <w:szCs w:val="22"/>
        </w:rPr>
        <w:t xml:space="preserve"> der</w:t>
      </w:r>
      <w:r w:rsidR="00F17252" w:rsidRPr="00A71EF3">
        <w:rPr>
          <w:sz w:val="22"/>
          <w:szCs w:val="22"/>
        </w:rPr>
        <w:t xml:space="preserve"> </w:t>
      </w:r>
      <w:r w:rsidR="00402926" w:rsidRPr="00A71EF3">
        <w:rPr>
          <w:sz w:val="22"/>
          <w:szCs w:val="22"/>
        </w:rPr>
        <w:t xml:space="preserve">Gussgehäuse </w:t>
      </w:r>
      <w:r w:rsidR="00F17252" w:rsidRPr="00A71EF3">
        <w:rPr>
          <w:sz w:val="22"/>
          <w:szCs w:val="22"/>
        </w:rPr>
        <w:t>sorgt für den notwendigen Korrosionsschutz.</w:t>
      </w:r>
      <w:r w:rsidRPr="00A71EF3">
        <w:rPr>
          <w:sz w:val="22"/>
          <w:szCs w:val="22"/>
        </w:rPr>
        <w:t xml:space="preserve"> </w:t>
      </w:r>
      <w:r w:rsidR="00F17252" w:rsidRPr="00A71EF3">
        <w:rPr>
          <w:sz w:val="22"/>
          <w:szCs w:val="22"/>
        </w:rPr>
        <w:t xml:space="preserve">Der KSB-Stand befindet sich </w:t>
      </w:r>
      <w:r w:rsidR="00402926" w:rsidRPr="00A71EF3">
        <w:rPr>
          <w:sz w:val="22"/>
          <w:szCs w:val="22"/>
        </w:rPr>
        <w:t xml:space="preserve">in </w:t>
      </w:r>
      <w:r w:rsidR="00F17252" w:rsidRPr="00A71EF3">
        <w:rPr>
          <w:sz w:val="22"/>
          <w:szCs w:val="22"/>
        </w:rPr>
        <w:t xml:space="preserve">Halle </w:t>
      </w:r>
      <w:r w:rsidR="00402926" w:rsidRPr="00A71EF3">
        <w:rPr>
          <w:sz w:val="22"/>
          <w:szCs w:val="22"/>
        </w:rPr>
        <w:t>9.0 und hat die Standnummer A12.</w:t>
      </w:r>
    </w:p>
    <w:p w14:paraId="5EA8E952" w14:textId="77777777" w:rsidR="00F17252" w:rsidRPr="00A71EF3" w:rsidRDefault="00F17252" w:rsidP="00F17252">
      <w:pPr>
        <w:jc w:val="both"/>
        <w:rPr>
          <w:sz w:val="22"/>
          <w:szCs w:val="22"/>
        </w:rPr>
      </w:pPr>
    </w:p>
    <w:p w14:paraId="110BDE49" w14:textId="77777777" w:rsidR="00F17252" w:rsidRPr="00A71EF3" w:rsidRDefault="00F17252" w:rsidP="00F17252">
      <w:pPr>
        <w:jc w:val="both"/>
        <w:rPr>
          <w:sz w:val="22"/>
          <w:szCs w:val="22"/>
        </w:rPr>
      </w:pPr>
      <w:r w:rsidRPr="00A71EF3">
        <w:rPr>
          <w:sz w:val="22"/>
          <w:szCs w:val="22"/>
        </w:rPr>
        <w:t>Foto: Die neue Baureihe EtaLine Pro repräsentier</w:t>
      </w:r>
      <w:r w:rsidR="00402926" w:rsidRPr="00A71EF3">
        <w:rPr>
          <w:sz w:val="22"/>
          <w:szCs w:val="22"/>
        </w:rPr>
        <w:t>t</w:t>
      </w:r>
      <w:r w:rsidRPr="00A71EF3">
        <w:rPr>
          <w:sz w:val="22"/>
          <w:szCs w:val="22"/>
        </w:rPr>
        <w:t xml:space="preserve"> den höchsten Entwicklungsstand bei voll integrierten</w:t>
      </w:r>
      <w:r w:rsidR="00192AC8" w:rsidRPr="00A71EF3">
        <w:rPr>
          <w:sz w:val="22"/>
          <w:szCs w:val="22"/>
        </w:rPr>
        <w:t xml:space="preserve"> Inlinewasserpumpen</w:t>
      </w:r>
      <w:r w:rsidRPr="00A71EF3">
        <w:rPr>
          <w:sz w:val="22"/>
          <w:szCs w:val="22"/>
        </w:rPr>
        <w:t>. (KSB SE &amp; Co. KGaA)</w:t>
      </w:r>
    </w:p>
    <w:p w14:paraId="0F5B54CA" w14:textId="77777777" w:rsidR="00324124" w:rsidRPr="00A71EF3" w:rsidRDefault="00324124" w:rsidP="00F17252">
      <w:pPr>
        <w:rPr>
          <w:sz w:val="22"/>
          <w:szCs w:val="22"/>
        </w:rPr>
      </w:pPr>
    </w:p>
    <w:sectPr w:rsidR="00324124" w:rsidRPr="00A71EF3" w:rsidSect="006E0CF8">
      <w:pgSz w:w="11906" w:h="16838"/>
      <w:pgMar w:top="1276" w:right="2408" w:bottom="1134" w:left="1985"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14508B"/>
    <w:multiLevelType w:val="hybridMultilevel"/>
    <w:tmpl w:val="6B7AB3A0"/>
    <w:lvl w:ilvl="0" w:tplc="9C26F0BE">
      <w:start w:val="1"/>
      <w:numFmt w:val="bullet"/>
      <w:lvlText w:val=""/>
      <w:lvlJc w:val="left"/>
      <w:pPr>
        <w:tabs>
          <w:tab w:val="num" w:pos="720"/>
        </w:tabs>
        <w:ind w:left="720" w:hanging="360"/>
      </w:pPr>
      <w:rPr>
        <w:rFonts w:ascii="Wingdings" w:hAnsi="Wingdings" w:hint="default"/>
      </w:rPr>
    </w:lvl>
    <w:lvl w:ilvl="1" w:tplc="3E663C2E">
      <w:start w:val="1"/>
      <w:numFmt w:val="bullet"/>
      <w:lvlText w:val=""/>
      <w:lvlJc w:val="left"/>
      <w:pPr>
        <w:tabs>
          <w:tab w:val="num" w:pos="1440"/>
        </w:tabs>
        <w:ind w:left="1440" w:hanging="360"/>
      </w:pPr>
      <w:rPr>
        <w:rFonts w:ascii="Wingdings" w:hAnsi="Wingdings" w:hint="default"/>
      </w:rPr>
    </w:lvl>
    <w:lvl w:ilvl="2" w:tplc="1F5E9B2E" w:tentative="1">
      <w:start w:val="1"/>
      <w:numFmt w:val="bullet"/>
      <w:lvlText w:val=""/>
      <w:lvlJc w:val="left"/>
      <w:pPr>
        <w:tabs>
          <w:tab w:val="num" w:pos="2160"/>
        </w:tabs>
        <w:ind w:left="2160" w:hanging="360"/>
      </w:pPr>
      <w:rPr>
        <w:rFonts w:ascii="Wingdings" w:hAnsi="Wingdings" w:hint="default"/>
      </w:rPr>
    </w:lvl>
    <w:lvl w:ilvl="3" w:tplc="DC10E3CE" w:tentative="1">
      <w:start w:val="1"/>
      <w:numFmt w:val="bullet"/>
      <w:lvlText w:val=""/>
      <w:lvlJc w:val="left"/>
      <w:pPr>
        <w:tabs>
          <w:tab w:val="num" w:pos="2880"/>
        </w:tabs>
        <w:ind w:left="2880" w:hanging="360"/>
      </w:pPr>
      <w:rPr>
        <w:rFonts w:ascii="Wingdings" w:hAnsi="Wingdings" w:hint="default"/>
      </w:rPr>
    </w:lvl>
    <w:lvl w:ilvl="4" w:tplc="D5FA70EE" w:tentative="1">
      <w:start w:val="1"/>
      <w:numFmt w:val="bullet"/>
      <w:lvlText w:val=""/>
      <w:lvlJc w:val="left"/>
      <w:pPr>
        <w:tabs>
          <w:tab w:val="num" w:pos="3600"/>
        </w:tabs>
        <w:ind w:left="3600" w:hanging="360"/>
      </w:pPr>
      <w:rPr>
        <w:rFonts w:ascii="Wingdings" w:hAnsi="Wingdings" w:hint="default"/>
      </w:rPr>
    </w:lvl>
    <w:lvl w:ilvl="5" w:tplc="E71CD020" w:tentative="1">
      <w:start w:val="1"/>
      <w:numFmt w:val="bullet"/>
      <w:lvlText w:val=""/>
      <w:lvlJc w:val="left"/>
      <w:pPr>
        <w:tabs>
          <w:tab w:val="num" w:pos="4320"/>
        </w:tabs>
        <w:ind w:left="4320" w:hanging="360"/>
      </w:pPr>
      <w:rPr>
        <w:rFonts w:ascii="Wingdings" w:hAnsi="Wingdings" w:hint="default"/>
      </w:rPr>
    </w:lvl>
    <w:lvl w:ilvl="6" w:tplc="EFF04C14" w:tentative="1">
      <w:start w:val="1"/>
      <w:numFmt w:val="bullet"/>
      <w:lvlText w:val=""/>
      <w:lvlJc w:val="left"/>
      <w:pPr>
        <w:tabs>
          <w:tab w:val="num" w:pos="5040"/>
        </w:tabs>
        <w:ind w:left="5040" w:hanging="360"/>
      </w:pPr>
      <w:rPr>
        <w:rFonts w:ascii="Wingdings" w:hAnsi="Wingdings" w:hint="default"/>
      </w:rPr>
    </w:lvl>
    <w:lvl w:ilvl="7" w:tplc="01BAADBC" w:tentative="1">
      <w:start w:val="1"/>
      <w:numFmt w:val="bullet"/>
      <w:lvlText w:val=""/>
      <w:lvlJc w:val="left"/>
      <w:pPr>
        <w:tabs>
          <w:tab w:val="num" w:pos="5760"/>
        </w:tabs>
        <w:ind w:left="5760" w:hanging="360"/>
      </w:pPr>
      <w:rPr>
        <w:rFonts w:ascii="Wingdings" w:hAnsi="Wingdings" w:hint="default"/>
      </w:rPr>
    </w:lvl>
    <w:lvl w:ilvl="8" w:tplc="A4BC5D7A"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14221B6"/>
    <w:multiLevelType w:val="hybridMultilevel"/>
    <w:tmpl w:val="10D28AB4"/>
    <w:lvl w:ilvl="0" w:tplc="8514DF40">
      <w:start w:val="1"/>
      <w:numFmt w:val="bullet"/>
      <w:lvlText w:val=""/>
      <w:lvlJc w:val="left"/>
      <w:pPr>
        <w:tabs>
          <w:tab w:val="num" w:pos="720"/>
        </w:tabs>
        <w:ind w:left="720" w:hanging="360"/>
      </w:pPr>
      <w:rPr>
        <w:rFonts w:ascii="Wingdings" w:hAnsi="Wingdings" w:hint="default"/>
      </w:rPr>
    </w:lvl>
    <w:lvl w:ilvl="1" w:tplc="5F84EA0A">
      <w:start w:val="1"/>
      <w:numFmt w:val="bullet"/>
      <w:lvlText w:val=""/>
      <w:lvlJc w:val="left"/>
      <w:pPr>
        <w:tabs>
          <w:tab w:val="num" w:pos="1440"/>
        </w:tabs>
        <w:ind w:left="1440" w:hanging="360"/>
      </w:pPr>
      <w:rPr>
        <w:rFonts w:ascii="Wingdings" w:hAnsi="Wingdings" w:hint="default"/>
      </w:rPr>
    </w:lvl>
    <w:lvl w:ilvl="2" w:tplc="0EFA0DBC" w:tentative="1">
      <w:start w:val="1"/>
      <w:numFmt w:val="bullet"/>
      <w:lvlText w:val=""/>
      <w:lvlJc w:val="left"/>
      <w:pPr>
        <w:tabs>
          <w:tab w:val="num" w:pos="2160"/>
        </w:tabs>
        <w:ind w:left="2160" w:hanging="360"/>
      </w:pPr>
      <w:rPr>
        <w:rFonts w:ascii="Wingdings" w:hAnsi="Wingdings" w:hint="default"/>
      </w:rPr>
    </w:lvl>
    <w:lvl w:ilvl="3" w:tplc="4A98FF88" w:tentative="1">
      <w:start w:val="1"/>
      <w:numFmt w:val="bullet"/>
      <w:lvlText w:val=""/>
      <w:lvlJc w:val="left"/>
      <w:pPr>
        <w:tabs>
          <w:tab w:val="num" w:pos="2880"/>
        </w:tabs>
        <w:ind w:left="2880" w:hanging="360"/>
      </w:pPr>
      <w:rPr>
        <w:rFonts w:ascii="Wingdings" w:hAnsi="Wingdings" w:hint="default"/>
      </w:rPr>
    </w:lvl>
    <w:lvl w:ilvl="4" w:tplc="C2B6447A" w:tentative="1">
      <w:start w:val="1"/>
      <w:numFmt w:val="bullet"/>
      <w:lvlText w:val=""/>
      <w:lvlJc w:val="left"/>
      <w:pPr>
        <w:tabs>
          <w:tab w:val="num" w:pos="3600"/>
        </w:tabs>
        <w:ind w:left="3600" w:hanging="360"/>
      </w:pPr>
      <w:rPr>
        <w:rFonts w:ascii="Wingdings" w:hAnsi="Wingdings" w:hint="default"/>
      </w:rPr>
    </w:lvl>
    <w:lvl w:ilvl="5" w:tplc="90660524" w:tentative="1">
      <w:start w:val="1"/>
      <w:numFmt w:val="bullet"/>
      <w:lvlText w:val=""/>
      <w:lvlJc w:val="left"/>
      <w:pPr>
        <w:tabs>
          <w:tab w:val="num" w:pos="4320"/>
        </w:tabs>
        <w:ind w:left="4320" w:hanging="360"/>
      </w:pPr>
      <w:rPr>
        <w:rFonts w:ascii="Wingdings" w:hAnsi="Wingdings" w:hint="default"/>
      </w:rPr>
    </w:lvl>
    <w:lvl w:ilvl="6" w:tplc="9482DB32" w:tentative="1">
      <w:start w:val="1"/>
      <w:numFmt w:val="bullet"/>
      <w:lvlText w:val=""/>
      <w:lvlJc w:val="left"/>
      <w:pPr>
        <w:tabs>
          <w:tab w:val="num" w:pos="5040"/>
        </w:tabs>
        <w:ind w:left="5040" w:hanging="360"/>
      </w:pPr>
      <w:rPr>
        <w:rFonts w:ascii="Wingdings" w:hAnsi="Wingdings" w:hint="default"/>
      </w:rPr>
    </w:lvl>
    <w:lvl w:ilvl="7" w:tplc="BEA69CD6" w:tentative="1">
      <w:start w:val="1"/>
      <w:numFmt w:val="bullet"/>
      <w:lvlText w:val=""/>
      <w:lvlJc w:val="left"/>
      <w:pPr>
        <w:tabs>
          <w:tab w:val="num" w:pos="5760"/>
        </w:tabs>
        <w:ind w:left="5760" w:hanging="360"/>
      </w:pPr>
      <w:rPr>
        <w:rFonts w:ascii="Wingdings" w:hAnsi="Wingdings" w:hint="default"/>
      </w:rPr>
    </w:lvl>
    <w:lvl w:ilvl="8" w:tplc="59E03D82"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1FA3C08"/>
    <w:multiLevelType w:val="hybridMultilevel"/>
    <w:tmpl w:val="0462819E"/>
    <w:lvl w:ilvl="0" w:tplc="0407000B">
      <w:numFmt w:val="bullet"/>
      <w:lvlText w:val=""/>
      <w:lvlJc w:val="left"/>
      <w:pPr>
        <w:tabs>
          <w:tab w:val="num" w:pos="720"/>
        </w:tabs>
        <w:ind w:left="720" w:hanging="360"/>
      </w:pPr>
      <w:rPr>
        <w:rFonts w:ascii="Wingdings" w:eastAsia="Times New Roman" w:hAnsi="Wingdings" w:cs="Times New Roman"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BDB4564"/>
    <w:multiLevelType w:val="hybridMultilevel"/>
    <w:tmpl w:val="813EB052"/>
    <w:lvl w:ilvl="0" w:tplc="E116A15C">
      <w:start w:val="1"/>
      <w:numFmt w:val="bullet"/>
      <w:lvlText w:val=""/>
      <w:lvlJc w:val="left"/>
      <w:pPr>
        <w:tabs>
          <w:tab w:val="num" w:pos="720"/>
        </w:tabs>
        <w:ind w:left="720" w:hanging="360"/>
      </w:pPr>
      <w:rPr>
        <w:rFonts w:ascii="Wingdings" w:hAnsi="Wingdings" w:hint="default"/>
      </w:rPr>
    </w:lvl>
    <w:lvl w:ilvl="1" w:tplc="EC3AFBE2" w:tentative="1">
      <w:start w:val="1"/>
      <w:numFmt w:val="bullet"/>
      <w:lvlText w:val=""/>
      <w:lvlJc w:val="left"/>
      <w:pPr>
        <w:tabs>
          <w:tab w:val="num" w:pos="1440"/>
        </w:tabs>
        <w:ind w:left="1440" w:hanging="360"/>
      </w:pPr>
      <w:rPr>
        <w:rFonts w:ascii="Wingdings" w:hAnsi="Wingdings" w:hint="default"/>
      </w:rPr>
    </w:lvl>
    <w:lvl w:ilvl="2" w:tplc="D0107068" w:tentative="1">
      <w:start w:val="1"/>
      <w:numFmt w:val="bullet"/>
      <w:lvlText w:val=""/>
      <w:lvlJc w:val="left"/>
      <w:pPr>
        <w:tabs>
          <w:tab w:val="num" w:pos="2160"/>
        </w:tabs>
        <w:ind w:left="2160" w:hanging="360"/>
      </w:pPr>
      <w:rPr>
        <w:rFonts w:ascii="Wingdings" w:hAnsi="Wingdings" w:hint="default"/>
      </w:rPr>
    </w:lvl>
    <w:lvl w:ilvl="3" w:tplc="E580DD66" w:tentative="1">
      <w:start w:val="1"/>
      <w:numFmt w:val="bullet"/>
      <w:lvlText w:val=""/>
      <w:lvlJc w:val="left"/>
      <w:pPr>
        <w:tabs>
          <w:tab w:val="num" w:pos="2880"/>
        </w:tabs>
        <w:ind w:left="2880" w:hanging="360"/>
      </w:pPr>
      <w:rPr>
        <w:rFonts w:ascii="Wingdings" w:hAnsi="Wingdings" w:hint="default"/>
      </w:rPr>
    </w:lvl>
    <w:lvl w:ilvl="4" w:tplc="32F2CF44" w:tentative="1">
      <w:start w:val="1"/>
      <w:numFmt w:val="bullet"/>
      <w:lvlText w:val=""/>
      <w:lvlJc w:val="left"/>
      <w:pPr>
        <w:tabs>
          <w:tab w:val="num" w:pos="3600"/>
        </w:tabs>
        <w:ind w:left="3600" w:hanging="360"/>
      </w:pPr>
      <w:rPr>
        <w:rFonts w:ascii="Wingdings" w:hAnsi="Wingdings" w:hint="default"/>
      </w:rPr>
    </w:lvl>
    <w:lvl w:ilvl="5" w:tplc="20D61EB6" w:tentative="1">
      <w:start w:val="1"/>
      <w:numFmt w:val="bullet"/>
      <w:lvlText w:val=""/>
      <w:lvlJc w:val="left"/>
      <w:pPr>
        <w:tabs>
          <w:tab w:val="num" w:pos="4320"/>
        </w:tabs>
        <w:ind w:left="4320" w:hanging="360"/>
      </w:pPr>
      <w:rPr>
        <w:rFonts w:ascii="Wingdings" w:hAnsi="Wingdings" w:hint="default"/>
      </w:rPr>
    </w:lvl>
    <w:lvl w:ilvl="6" w:tplc="6DC46314" w:tentative="1">
      <w:start w:val="1"/>
      <w:numFmt w:val="bullet"/>
      <w:lvlText w:val=""/>
      <w:lvlJc w:val="left"/>
      <w:pPr>
        <w:tabs>
          <w:tab w:val="num" w:pos="5040"/>
        </w:tabs>
        <w:ind w:left="5040" w:hanging="360"/>
      </w:pPr>
      <w:rPr>
        <w:rFonts w:ascii="Wingdings" w:hAnsi="Wingdings" w:hint="default"/>
      </w:rPr>
    </w:lvl>
    <w:lvl w:ilvl="7" w:tplc="7B5A8734" w:tentative="1">
      <w:start w:val="1"/>
      <w:numFmt w:val="bullet"/>
      <w:lvlText w:val=""/>
      <w:lvlJc w:val="left"/>
      <w:pPr>
        <w:tabs>
          <w:tab w:val="num" w:pos="5760"/>
        </w:tabs>
        <w:ind w:left="5760" w:hanging="360"/>
      </w:pPr>
      <w:rPr>
        <w:rFonts w:ascii="Wingdings" w:hAnsi="Wingdings" w:hint="default"/>
      </w:rPr>
    </w:lvl>
    <w:lvl w:ilvl="8" w:tplc="724E89A4"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74232844"/>
    <w:multiLevelType w:val="hybridMultilevel"/>
    <w:tmpl w:val="EA820BAC"/>
    <w:lvl w:ilvl="0" w:tplc="0407000B">
      <w:start w:val="1"/>
      <w:numFmt w:val="bullet"/>
      <w:lvlText w:val=""/>
      <w:lvlJc w:val="left"/>
      <w:pPr>
        <w:tabs>
          <w:tab w:val="num" w:pos="1080"/>
        </w:tabs>
        <w:ind w:left="1080" w:hanging="360"/>
      </w:pPr>
      <w:rPr>
        <w:rFonts w:ascii="Wingdings" w:hAnsi="Wingdings" w:hint="default"/>
      </w:rPr>
    </w:lvl>
    <w:lvl w:ilvl="1" w:tplc="04070003" w:tentative="1">
      <w:start w:val="1"/>
      <w:numFmt w:val="bullet"/>
      <w:lvlText w:val="o"/>
      <w:lvlJc w:val="left"/>
      <w:pPr>
        <w:tabs>
          <w:tab w:val="num" w:pos="1800"/>
        </w:tabs>
        <w:ind w:left="1800" w:hanging="360"/>
      </w:pPr>
      <w:rPr>
        <w:rFonts w:ascii="Courier New" w:hAnsi="Courier New" w:cs="Courier New" w:hint="default"/>
      </w:rPr>
    </w:lvl>
    <w:lvl w:ilvl="2" w:tplc="04070005" w:tentative="1">
      <w:start w:val="1"/>
      <w:numFmt w:val="bullet"/>
      <w:lvlText w:val=""/>
      <w:lvlJc w:val="left"/>
      <w:pPr>
        <w:tabs>
          <w:tab w:val="num" w:pos="2520"/>
        </w:tabs>
        <w:ind w:left="2520" w:hanging="360"/>
      </w:pPr>
      <w:rPr>
        <w:rFonts w:ascii="Wingdings" w:hAnsi="Wingdings" w:hint="default"/>
      </w:rPr>
    </w:lvl>
    <w:lvl w:ilvl="3" w:tplc="04070001" w:tentative="1">
      <w:start w:val="1"/>
      <w:numFmt w:val="bullet"/>
      <w:lvlText w:val=""/>
      <w:lvlJc w:val="left"/>
      <w:pPr>
        <w:tabs>
          <w:tab w:val="num" w:pos="3240"/>
        </w:tabs>
        <w:ind w:left="3240" w:hanging="360"/>
      </w:pPr>
      <w:rPr>
        <w:rFonts w:ascii="Symbol" w:hAnsi="Symbol" w:hint="default"/>
      </w:rPr>
    </w:lvl>
    <w:lvl w:ilvl="4" w:tplc="04070003" w:tentative="1">
      <w:start w:val="1"/>
      <w:numFmt w:val="bullet"/>
      <w:lvlText w:val="o"/>
      <w:lvlJc w:val="left"/>
      <w:pPr>
        <w:tabs>
          <w:tab w:val="num" w:pos="3960"/>
        </w:tabs>
        <w:ind w:left="3960" w:hanging="360"/>
      </w:pPr>
      <w:rPr>
        <w:rFonts w:ascii="Courier New" w:hAnsi="Courier New" w:cs="Courier New" w:hint="default"/>
      </w:rPr>
    </w:lvl>
    <w:lvl w:ilvl="5" w:tplc="04070005" w:tentative="1">
      <w:start w:val="1"/>
      <w:numFmt w:val="bullet"/>
      <w:lvlText w:val=""/>
      <w:lvlJc w:val="left"/>
      <w:pPr>
        <w:tabs>
          <w:tab w:val="num" w:pos="4680"/>
        </w:tabs>
        <w:ind w:left="4680" w:hanging="360"/>
      </w:pPr>
      <w:rPr>
        <w:rFonts w:ascii="Wingdings" w:hAnsi="Wingdings" w:hint="default"/>
      </w:rPr>
    </w:lvl>
    <w:lvl w:ilvl="6" w:tplc="04070001" w:tentative="1">
      <w:start w:val="1"/>
      <w:numFmt w:val="bullet"/>
      <w:lvlText w:val=""/>
      <w:lvlJc w:val="left"/>
      <w:pPr>
        <w:tabs>
          <w:tab w:val="num" w:pos="5400"/>
        </w:tabs>
        <w:ind w:left="5400" w:hanging="360"/>
      </w:pPr>
      <w:rPr>
        <w:rFonts w:ascii="Symbol" w:hAnsi="Symbol" w:hint="default"/>
      </w:rPr>
    </w:lvl>
    <w:lvl w:ilvl="7" w:tplc="04070003" w:tentative="1">
      <w:start w:val="1"/>
      <w:numFmt w:val="bullet"/>
      <w:lvlText w:val="o"/>
      <w:lvlJc w:val="left"/>
      <w:pPr>
        <w:tabs>
          <w:tab w:val="num" w:pos="6120"/>
        </w:tabs>
        <w:ind w:left="6120" w:hanging="360"/>
      </w:pPr>
      <w:rPr>
        <w:rFonts w:ascii="Courier New" w:hAnsi="Courier New" w:cs="Courier New" w:hint="default"/>
      </w:rPr>
    </w:lvl>
    <w:lvl w:ilvl="8" w:tplc="0407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78621947"/>
    <w:multiLevelType w:val="hybridMultilevel"/>
    <w:tmpl w:val="E014E41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C4F2BF8"/>
    <w:multiLevelType w:val="hybridMultilevel"/>
    <w:tmpl w:val="08ECB9CE"/>
    <w:lvl w:ilvl="0" w:tplc="C192A382">
      <w:start w:val="1"/>
      <w:numFmt w:val="bullet"/>
      <w:lvlText w:val=""/>
      <w:lvlJc w:val="left"/>
      <w:pPr>
        <w:tabs>
          <w:tab w:val="num" w:pos="720"/>
        </w:tabs>
        <w:ind w:left="720" w:hanging="360"/>
      </w:pPr>
      <w:rPr>
        <w:rFonts w:ascii="Wingdings" w:hAnsi="Wingdings" w:hint="default"/>
      </w:rPr>
    </w:lvl>
    <w:lvl w:ilvl="1" w:tplc="43B83C3C" w:tentative="1">
      <w:start w:val="1"/>
      <w:numFmt w:val="bullet"/>
      <w:lvlText w:val=""/>
      <w:lvlJc w:val="left"/>
      <w:pPr>
        <w:tabs>
          <w:tab w:val="num" w:pos="1440"/>
        </w:tabs>
        <w:ind w:left="1440" w:hanging="360"/>
      </w:pPr>
      <w:rPr>
        <w:rFonts w:ascii="Wingdings" w:hAnsi="Wingdings" w:hint="default"/>
      </w:rPr>
    </w:lvl>
    <w:lvl w:ilvl="2" w:tplc="15A017CE" w:tentative="1">
      <w:start w:val="1"/>
      <w:numFmt w:val="bullet"/>
      <w:lvlText w:val=""/>
      <w:lvlJc w:val="left"/>
      <w:pPr>
        <w:tabs>
          <w:tab w:val="num" w:pos="2160"/>
        </w:tabs>
        <w:ind w:left="2160" w:hanging="360"/>
      </w:pPr>
      <w:rPr>
        <w:rFonts w:ascii="Wingdings" w:hAnsi="Wingdings" w:hint="default"/>
      </w:rPr>
    </w:lvl>
    <w:lvl w:ilvl="3" w:tplc="ABF098BA" w:tentative="1">
      <w:start w:val="1"/>
      <w:numFmt w:val="bullet"/>
      <w:lvlText w:val=""/>
      <w:lvlJc w:val="left"/>
      <w:pPr>
        <w:tabs>
          <w:tab w:val="num" w:pos="2880"/>
        </w:tabs>
        <w:ind w:left="2880" w:hanging="360"/>
      </w:pPr>
      <w:rPr>
        <w:rFonts w:ascii="Wingdings" w:hAnsi="Wingdings" w:hint="default"/>
      </w:rPr>
    </w:lvl>
    <w:lvl w:ilvl="4" w:tplc="87265726" w:tentative="1">
      <w:start w:val="1"/>
      <w:numFmt w:val="bullet"/>
      <w:lvlText w:val=""/>
      <w:lvlJc w:val="left"/>
      <w:pPr>
        <w:tabs>
          <w:tab w:val="num" w:pos="3600"/>
        </w:tabs>
        <w:ind w:left="3600" w:hanging="360"/>
      </w:pPr>
      <w:rPr>
        <w:rFonts w:ascii="Wingdings" w:hAnsi="Wingdings" w:hint="default"/>
      </w:rPr>
    </w:lvl>
    <w:lvl w:ilvl="5" w:tplc="A6360AC8" w:tentative="1">
      <w:start w:val="1"/>
      <w:numFmt w:val="bullet"/>
      <w:lvlText w:val=""/>
      <w:lvlJc w:val="left"/>
      <w:pPr>
        <w:tabs>
          <w:tab w:val="num" w:pos="4320"/>
        </w:tabs>
        <w:ind w:left="4320" w:hanging="360"/>
      </w:pPr>
      <w:rPr>
        <w:rFonts w:ascii="Wingdings" w:hAnsi="Wingdings" w:hint="default"/>
      </w:rPr>
    </w:lvl>
    <w:lvl w:ilvl="6" w:tplc="EAF45A6E" w:tentative="1">
      <w:start w:val="1"/>
      <w:numFmt w:val="bullet"/>
      <w:lvlText w:val=""/>
      <w:lvlJc w:val="left"/>
      <w:pPr>
        <w:tabs>
          <w:tab w:val="num" w:pos="5040"/>
        </w:tabs>
        <w:ind w:left="5040" w:hanging="360"/>
      </w:pPr>
      <w:rPr>
        <w:rFonts w:ascii="Wingdings" w:hAnsi="Wingdings" w:hint="default"/>
      </w:rPr>
    </w:lvl>
    <w:lvl w:ilvl="7" w:tplc="A336E146" w:tentative="1">
      <w:start w:val="1"/>
      <w:numFmt w:val="bullet"/>
      <w:lvlText w:val=""/>
      <w:lvlJc w:val="left"/>
      <w:pPr>
        <w:tabs>
          <w:tab w:val="num" w:pos="5760"/>
        </w:tabs>
        <w:ind w:left="5760" w:hanging="360"/>
      </w:pPr>
      <w:rPr>
        <w:rFonts w:ascii="Wingdings" w:hAnsi="Wingdings" w:hint="default"/>
      </w:rPr>
    </w:lvl>
    <w:lvl w:ilvl="8" w:tplc="FB6C1A5A"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4"/>
  </w:num>
  <w:num w:numId="3">
    <w:abstractNumId w:val="5"/>
  </w:num>
  <w:num w:numId="4">
    <w:abstractNumId w:val="1"/>
  </w:num>
  <w:num w:numId="5">
    <w:abstractNumId w:val="0"/>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08"/>
  <w:hyphenationZone w:val="425"/>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47D68C32-8C12-4195-AEA7-9D4C7DB7B1D8}"/>
    <w:docVar w:name="dgnword-eventsink" w:val="468943136"/>
  </w:docVars>
  <w:rsids>
    <w:rsidRoot w:val="00496B94"/>
    <w:rsid w:val="00014934"/>
    <w:rsid w:val="00015B7A"/>
    <w:rsid w:val="00047543"/>
    <w:rsid w:val="0004782D"/>
    <w:rsid w:val="0006739E"/>
    <w:rsid w:val="0007362D"/>
    <w:rsid w:val="000A71D2"/>
    <w:rsid w:val="000B0A3C"/>
    <w:rsid w:val="000E3F0C"/>
    <w:rsid w:val="000E7652"/>
    <w:rsid w:val="000F0B97"/>
    <w:rsid w:val="00100F1C"/>
    <w:rsid w:val="001039FC"/>
    <w:rsid w:val="00122ADE"/>
    <w:rsid w:val="00171649"/>
    <w:rsid w:val="0017498A"/>
    <w:rsid w:val="001778EC"/>
    <w:rsid w:val="00192AC8"/>
    <w:rsid w:val="001A2109"/>
    <w:rsid w:val="001C62AD"/>
    <w:rsid w:val="001D22A4"/>
    <w:rsid w:val="001F1EAB"/>
    <w:rsid w:val="00205A82"/>
    <w:rsid w:val="0021247B"/>
    <w:rsid w:val="00215BAC"/>
    <w:rsid w:val="00225DB3"/>
    <w:rsid w:val="002722E1"/>
    <w:rsid w:val="00292D92"/>
    <w:rsid w:val="00292E48"/>
    <w:rsid w:val="00296A7F"/>
    <w:rsid w:val="002C0CDB"/>
    <w:rsid w:val="002C3B37"/>
    <w:rsid w:val="002C586D"/>
    <w:rsid w:val="002D74EA"/>
    <w:rsid w:val="002E2328"/>
    <w:rsid w:val="0030787D"/>
    <w:rsid w:val="00322172"/>
    <w:rsid w:val="00324124"/>
    <w:rsid w:val="003452A3"/>
    <w:rsid w:val="003755D5"/>
    <w:rsid w:val="003E1929"/>
    <w:rsid w:val="00401252"/>
    <w:rsid w:val="00402926"/>
    <w:rsid w:val="004120D1"/>
    <w:rsid w:val="00416D51"/>
    <w:rsid w:val="0042146B"/>
    <w:rsid w:val="00433059"/>
    <w:rsid w:val="00454A5F"/>
    <w:rsid w:val="00455BBA"/>
    <w:rsid w:val="0048148B"/>
    <w:rsid w:val="00496B94"/>
    <w:rsid w:val="004B6FA3"/>
    <w:rsid w:val="004C686F"/>
    <w:rsid w:val="004F24E1"/>
    <w:rsid w:val="0050103C"/>
    <w:rsid w:val="00520730"/>
    <w:rsid w:val="0058510B"/>
    <w:rsid w:val="0058771D"/>
    <w:rsid w:val="005C00A2"/>
    <w:rsid w:val="005E3A0E"/>
    <w:rsid w:val="00626635"/>
    <w:rsid w:val="00671755"/>
    <w:rsid w:val="0067358D"/>
    <w:rsid w:val="006815DE"/>
    <w:rsid w:val="00696E74"/>
    <w:rsid w:val="006C4E88"/>
    <w:rsid w:val="006C6904"/>
    <w:rsid w:val="006E0CF8"/>
    <w:rsid w:val="00700DE1"/>
    <w:rsid w:val="00721EA9"/>
    <w:rsid w:val="007757B5"/>
    <w:rsid w:val="00780012"/>
    <w:rsid w:val="0078186B"/>
    <w:rsid w:val="00783944"/>
    <w:rsid w:val="007D06C6"/>
    <w:rsid w:val="007D52AA"/>
    <w:rsid w:val="007D5E29"/>
    <w:rsid w:val="007D64DF"/>
    <w:rsid w:val="007D7182"/>
    <w:rsid w:val="007E30DF"/>
    <w:rsid w:val="00806345"/>
    <w:rsid w:val="0081638F"/>
    <w:rsid w:val="008167BD"/>
    <w:rsid w:val="0083265E"/>
    <w:rsid w:val="00847703"/>
    <w:rsid w:val="0084796B"/>
    <w:rsid w:val="00852CE3"/>
    <w:rsid w:val="008919D9"/>
    <w:rsid w:val="00896F8E"/>
    <w:rsid w:val="00925210"/>
    <w:rsid w:val="00932E1B"/>
    <w:rsid w:val="0095421F"/>
    <w:rsid w:val="00962ABB"/>
    <w:rsid w:val="00964877"/>
    <w:rsid w:val="00982D2C"/>
    <w:rsid w:val="009A33A7"/>
    <w:rsid w:val="009B4301"/>
    <w:rsid w:val="009F354A"/>
    <w:rsid w:val="00A0345F"/>
    <w:rsid w:val="00A03581"/>
    <w:rsid w:val="00A12C11"/>
    <w:rsid w:val="00A14002"/>
    <w:rsid w:val="00A201E7"/>
    <w:rsid w:val="00A60994"/>
    <w:rsid w:val="00A61D4B"/>
    <w:rsid w:val="00A71EF3"/>
    <w:rsid w:val="00A75F02"/>
    <w:rsid w:val="00AC0732"/>
    <w:rsid w:val="00AC0D69"/>
    <w:rsid w:val="00AD1726"/>
    <w:rsid w:val="00AD251A"/>
    <w:rsid w:val="00AE75AF"/>
    <w:rsid w:val="00B022FC"/>
    <w:rsid w:val="00B15D76"/>
    <w:rsid w:val="00B34719"/>
    <w:rsid w:val="00B628C1"/>
    <w:rsid w:val="00B73013"/>
    <w:rsid w:val="00BA185E"/>
    <w:rsid w:val="00BC765C"/>
    <w:rsid w:val="00BF3C05"/>
    <w:rsid w:val="00C1353F"/>
    <w:rsid w:val="00C3173C"/>
    <w:rsid w:val="00C5082F"/>
    <w:rsid w:val="00C5589D"/>
    <w:rsid w:val="00C71F26"/>
    <w:rsid w:val="00C805C0"/>
    <w:rsid w:val="00CA4A9C"/>
    <w:rsid w:val="00CB0DB2"/>
    <w:rsid w:val="00CB5588"/>
    <w:rsid w:val="00CF3FAF"/>
    <w:rsid w:val="00CF7EA5"/>
    <w:rsid w:val="00D0614D"/>
    <w:rsid w:val="00D64554"/>
    <w:rsid w:val="00DB4195"/>
    <w:rsid w:val="00DE766A"/>
    <w:rsid w:val="00DF7661"/>
    <w:rsid w:val="00E32208"/>
    <w:rsid w:val="00E539E2"/>
    <w:rsid w:val="00E64DF9"/>
    <w:rsid w:val="00E83D89"/>
    <w:rsid w:val="00EB680A"/>
    <w:rsid w:val="00EF6062"/>
    <w:rsid w:val="00F0185D"/>
    <w:rsid w:val="00F1035A"/>
    <w:rsid w:val="00F157D4"/>
    <w:rsid w:val="00F17252"/>
    <w:rsid w:val="00FB2EDD"/>
    <w:rsid w:val="00FC771F"/>
    <w:rsid w:val="00FD25C8"/>
    <w:rsid w:val="00FD7FA6"/>
    <w:rsid w:val="00FE079C"/>
    <w:rsid w:val="00FE7F8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0E739C"/>
  <w15:docId w15:val="{72C9BF75-D3B3-4833-A29A-D790BF15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96B94"/>
    <w:rPr>
      <w:rFonts w:ascii="Arial" w:hAnsi="Arial"/>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496B94"/>
    <w:pPr>
      <w:tabs>
        <w:tab w:val="center" w:pos="4536"/>
        <w:tab w:val="right" w:pos="9072"/>
      </w:tabs>
    </w:pPr>
  </w:style>
  <w:style w:type="table" w:styleId="Tabellenraster">
    <w:name w:val="Table Grid"/>
    <w:basedOn w:val="NormaleTabelle"/>
    <w:rsid w:val="00496B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semiHidden/>
    <w:rsid w:val="00D0614D"/>
    <w:rPr>
      <w:rFonts w:ascii="Tahoma" w:hAnsi="Tahoma" w:cs="Tahoma"/>
      <w:sz w:val="16"/>
      <w:szCs w:val="16"/>
    </w:rPr>
  </w:style>
  <w:style w:type="paragraph" w:styleId="Textkrper">
    <w:name w:val="Body Text"/>
    <w:basedOn w:val="Standard"/>
    <w:link w:val="TextkrperZchn"/>
    <w:rsid w:val="00E83D89"/>
    <w:rPr>
      <w:szCs w:val="20"/>
    </w:rPr>
  </w:style>
  <w:style w:type="character" w:customStyle="1" w:styleId="TextkrperZchn">
    <w:name w:val="Textkörper Zchn"/>
    <w:basedOn w:val="Absatz-Standardschriftart"/>
    <w:link w:val="Textkrper"/>
    <w:rsid w:val="00E83D89"/>
    <w:rPr>
      <w:rFonts w:ascii="Arial" w:hAnsi="Arial"/>
      <w:sz w:val="24"/>
    </w:rPr>
  </w:style>
  <w:style w:type="paragraph" w:styleId="Listenabsatz">
    <w:name w:val="List Paragraph"/>
    <w:basedOn w:val="Standard"/>
    <w:uiPriority w:val="34"/>
    <w:qFormat/>
    <w:rsid w:val="0058510B"/>
    <w:pPr>
      <w:ind w:left="720"/>
      <w:contextualSpacing/>
    </w:pPr>
    <w:rPr>
      <w:rFonts w:ascii="Times New Roman" w:hAnsi="Times New Roman"/>
    </w:rPr>
  </w:style>
  <w:style w:type="character" w:styleId="Platzhaltertext">
    <w:name w:val="Placeholder Text"/>
    <w:basedOn w:val="Absatz-Standardschriftart"/>
    <w:uiPriority w:val="99"/>
    <w:semiHidden/>
    <w:rsid w:val="00DF7661"/>
    <w:rPr>
      <w:color w:val="808080"/>
    </w:rPr>
  </w:style>
  <w:style w:type="character" w:styleId="Kommentarzeichen">
    <w:name w:val="annotation reference"/>
    <w:basedOn w:val="Absatz-Standardschriftart"/>
    <w:semiHidden/>
    <w:unhideWhenUsed/>
    <w:rsid w:val="004120D1"/>
    <w:rPr>
      <w:sz w:val="16"/>
      <w:szCs w:val="16"/>
    </w:rPr>
  </w:style>
  <w:style w:type="paragraph" w:styleId="Kommentartext">
    <w:name w:val="annotation text"/>
    <w:basedOn w:val="Standard"/>
    <w:link w:val="KommentartextZchn"/>
    <w:semiHidden/>
    <w:unhideWhenUsed/>
    <w:rsid w:val="004120D1"/>
    <w:rPr>
      <w:sz w:val="20"/>
      <w:szCs w:val="20"/>
    </w:rPr>
  </w:style>
  <w:style w:type="character" w:customStyle="1" w:styleId="KommentartextZchn">
    <w:name w:val="Kommentartext Zchn"/>
    <w:basedOn w:val="Absatz-Standardschriftart"/>
    <w:link w:val="Kommentartext"/>
    <w:semiHidden/>
    <w:rsid w:val="004120D1"/>
    <w:rPr>
      <w:rFonts w:ascii="Arial" w:hAnsi="Arial"/>
    </w:rPr>
  </w:style>
  <w:style w:type="paragraph" w:styleId="Kommentarthema">
    <w:name w:val="annotation subject"/>
    <w:basedOn w:val="Kommentartext"/>
    <w:next w:val="Kommentartext"/>
    <w:link w:val="KommentarthemaZchn"/>
    <w:semiHidden/>
    <w:unhideWhenUsed/>
    <w:rsid w:val="004120D1"/>
    <w:rPr>
      <w:b/>
      <w:bCs/>
    </w:rPr>
  </w:style>
  <w:style w:type="character" w:customStyle="1" w:styleId="KommentarthemaZchn">
    <w:name w:val="Kommentarthema Zchn"/>
    <w:basedOn w:val="KommentartextZchn"/>
    <w:link w:val="Kommentarthema"/>
    <w:semiHidden/>
    <w:rsid w:val="004120D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40591">
      <w:bodyDiv w:val="1"/>
      <w:marLeft w:val="0"/>
      <w:marRight w:val="0"/>
      <w:marTop w:val="0"/>
      <w:marBottom w:val="0"/>
      <w:divBdr>
        <w:top w:val="none" w:sz="0" w:space="0" w:color="auto"/>
        <w:left w:val="none" w:sz="0" w:space="0" w:color="auto"/>
        <w:bottom w:val="none" w:sz="0" w:space="0" w:color="auto"/>
        <w:right w:val="none" w:sz="0" w:space="0" w:color="auto"/>
      </w:divBdr>
    </w:div>
    <w:div w:id="1163856480">
      <w:bodyDiv w:val="1"/>
      <w:marLeft w:val="0"/>
      <w:marRight w:val="0"/>
      <w:marTop w:val="0"/>
      <w:marBottom w:val="0"/>
      <w:divBdr>
        <w:top w:val="none" w:sz="0" w:space="0" w:color="auto"/>
        <w:left w:val="none" w:sz="0" w:space="0" w:color="auto"/>
        <w:bottom w:val="none" w:sz="0" w:space="0" w:color="auto"/>
        <w:right w:val="none" w:sz="0" w:space="0" w:color="auto"/>
      </w:divBdr>
      <w:divsChild>
        <w:div w:id="916985139">
          <w:marLeft w:val="418"/>
          <w:marRight w:val="0"/>
          <w:marTop w:val="160"/>
          <w:marBottom w:val="0"/>
          <w:divBdr>
            <w:top w:val="none" w:sz="0" w:space="0" w:color="auto"/>
            <w:left w:val="none" w:sz="0" w:space="0" w:color="auto"/>
            <w:bottom w:val="none" w:sz="0" w:space="0" w:color="auto"/>
            <w:right w:val="none" w:sz="0" w:space="0" w:color="auto"/>
          </w:divBdr>
        </w:div>
      </w:divsChild>
    </w:div>
    <w:div w:id="1479304854">
      <w:bodyDiv w:val="1"/>
      <w:marLeft w:val="0"/>
      <w:marRight w:val="0"/>
      <w:marTop w:val="0"/>
      <w:marBottom w:val="0"/>
      <w:divBdr>
        <w:top w:val="none" w:sz="0" w:space="0" w:color="auto"/>
        <w:left w:val="none" w:sz="0" w:space="0" w:color="auto"/>
        <w:bottom w:val="none" w:sz="0" w:space="0" w:color="auto"/>
        <w:right w:val="none" w:sz="0" w:space="0" w:color="auto"/>
      </w:divBdr>
      <w:divsChild>
        <w:div w:id="1151363346">
          <w:marLeft w:val="547"/>
          <w:marRight w:val="0"/>
          <w:marTop w:val="0"/>
          <w:marBottom w:val="0"/>
          <w:divBdr>
            <w:top w:val="none" w:sz="0" w:space="0" w:color="auto"/>
            <w:left w:val="none" w:sz="0" w:space="0" w:color="auto"/>
            <w:bottom w:val="none" w:sz="0" w:space="0" w:color="auto"/>
            <w:right w:val="none" w:sz="0" w:space="0" w:color="auto"/>
          </w:divBdr>
        </w:div>
        <w:div w:id="1914199356">
          <w:marLeft w:val="547"/>
          <w:marRight w:val="0"/>
          <w:marTop w:val="0"/>
          <w:marBottom w:val="160"/>
          <w:divBdr>
            <w:top w:val="none" w:sz="0" w:space="0" w:color="auto"/>
            <w:left w:val="none" w:sz="0" w:space="0" w:color="auto"/>
            <w:bottom w:val="none" w:sz="0" w:space="0" w:color="auto"/>
            <w:right w:val="none" w:sz="0" w:space="0" w:color="auto"/>
          </w:divBdr>
        </w:div>
      </w:divsChild>
    </w:div>
    <w:div w:id="1938321668">
      <w:bodyDiv w:val="1"/>
      <w:marLeft w:val="0"/>
      <w:marRight w:val="0"/>
      <w:marTop w:val="0"/>
      <w:marBottom w:val="0"/>
      <w:divBdr>
        <w:top w:val="none" w:sz="0" w:space="0" w:color="auto"/>
        <w:left w:val="none" w:sz="0" w:space="0" w:color="auto"/>
        <w:bottom w:val="none" w:sz="0" w:space="0" w:color="auto"/>
        <w:right w:val="none" w:sz="0" w:space="0" w:color="auto"/>
      </w:divBdr>
      <w:divsChild>
        <w:div w:id="164052612">
          <w:marLeft w:val="418"/>
          <w:marRight w:val="0"/>
          <w:marTop w:val="160"/>
          <w:marBottom w:val="0"/>
          <w:divBdr>
            <w:top w:val="none" w:sz="0" w:space="0" w:color="auto"/>
            <w:left w:val="none" w:sz="0" w:space="0" w:color="auto"/>
            <w:bottom w:val="none" w:sz="0" w:space="0" w:color="auto"/>
            <w:right w:val="none" w:sz="0" w:space="0" w:color="auto"/>
          </w:divBdr>
        </w:div>
      </w:divsChild>
    </w:div>
    <w:div w:id="2005401902">
      <w:bodyDiv w:val="1"/>
      <w:marLeft w:val="0"/>
      <w:marRight w:val="0"/>
      <w:marTop w:val="0"/>
      <w:marBottom w:val="0"/>
      <w:divBdr>
        <w:top w:val="none" w:sz="0" w:space="0" w:color="auto"/>
        <w:left w:val="none" w:sz="0" w:space="0" w:color="auto"/>
        <w:bottom w:val="none" w:sz="0" w:space="0" w:color="auto"/>
        <w:right w:val="none" w:sz="0" w:space="0" w:color="auto"/>
      </w:divBdr>
      <w:divsChild>
        <w:div w:id="2097313847">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404</Words>
  <Characters>2610</Characters>
  <Application>Microsoft Office Word</Application>
  <DocSecurity>4</DocSecurity>
  <Lines>21</Lines>
  <Paragraphs>6</Paragraphs>
  <ScaleCrop>false</ScaleCrop>
  <HeadingPairs>
    <vt:vector size="2" baseType="variant">
      <vt:variant>
        <vt:lpstr>Titel</vt:lpstr>
      </vt:variant>
      <vt:variant>
        <vt:i4>1</vt:i4>
      </vt:variant>
    </vt:vector>
  </HeadingPairs>
  <TitlesOfParts>
    <vt:vector size="1" baseType="lpstr">
      <vt:lpstr>Zur ISH 2011 erweitert die KSB Aktiengesellschaft, Frankenthal ihre Produktionspalette um eine neue Inlinepumpen-Baureihe</vt:lpstr>
    </vt:vector>
  </TitlesOfParts>
  <Company>KSB AG</Company>
  <LinksUpToDate>false</LinksUpToDate>
  <CharactersWithSpaces>3008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Zur ISH 2011 erweitert die KSB Aktiengesellschaft, Frankenthal ihre Produktionspalette um eine neue Inlinepumpen-Baureihe</dc:title>
  <dc:creator>Christoph Pauly</dc:creator>
  <cp:lastModifiedBy>Pauly, Christoph</cp:lastModifiedBy>
  <cp:revision>2</cp:revision>
  <cp:lastPrinted>2016-10-14T07:26:00Z</cp:lastPrinted>
  <dcterms:created xsi:type="dcterms:W3CDTF">2023-01-26T13:54:00Z</dcterms:created>
  <dcterms:modified xsi:type="dcterms:W3CDTF">2023-01-26T13:54:00Z</dcterms:modified>
</cp:coreProperties>
</file>