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760458" w14:textId="77777777" w:rsidR="002009B0" w:rsidRPr="00BB6654" w:rsidRDefault="002009B0" w:rsidP="00FF131F">
      <w:pPr>
        <w:jc w:val="both"/>
        <w:rPr>
          <w:b/>
        </w:rPr>
      </w:pPr>
      <w:r w:rsidRPr="00BB6654">
        <w:rPr>
          <w:b/>
        </w:rPr>
        <w:t>Neue vollautomatische Feuerlöschtrennstation</w:t>
      </w:r>
    </w:p>
    <w:p w14:paraId="52917C02" w14:textId="77777777" w:rsidR="00FF131F" w:rsidRPr="00BB6654" w:rsidRDefault="00FF131F" w:rsidP="00FF131F">
      <w:pPr>
        <w:jc w:val="both"/>
        <w:rPr>
          <w:b/>
        </w:rPr>
      </w:pPr>
    </w:p>
    <w:p w14:paraId="324F42FA" w14:textId="4EAFFE8F" w:rsidR="002009B0" w:rsidRPr="00BB6654" w:rsidRDefault="002009B0" w:rsidP="00FF131F">
      <w:pPr>
        <w:jc w:val="both"/>
      </w:pPr>
      <w:r w:rsidRPr="00BB6654">
        <w:t xml:space="preserve">Mit der neuen </w:t>
      </w:r>
      <w:r w:rsidR="00B9316D" w:rsidRPr="00BB6654">
        <w:t xml:space="preserve">Druckerhöhungsanlage </w:t>
      </w:r>
      <w:proofErr w:type="spellStart"/>
      <w:r w:rsidRPr="00BB6654">
        <w:t>Hya</w:t>
      </w:r>
      <w:proofErr w:type="spellEnd"/>
      <w:r w:rsidRPr="00BB6654">
        <w:t>-Duo D FL-R komplettiert der Pumpenhersteller KSB sein Portfolio der Hydranten-Feuerlöschtrennstationen.</w:t>
      </w:r>
      <w:r w:rsidR="00FF131F" w:rsidRPr="00BB6654">
        <w:t xml:space="preserve"> </w:t>
      </w:r>
      <w:r w:rsidRPr="00BB6654">
        <w:t xml:space="preserve">Die DIN-14462-konforme Löschanlage versorgt im Brandfall Über- oder Unterflurhydranten mit </w:t>
      </w:r>
      <w:r w:rsidR="00F46EC8" w:rsidRPr="00BB6654">
        <w:t>einer Lösch</w:t>
      </w:r>
      <w:r w:rsidR="00635E1B" w:rsidRPr="00BB6654">
        <w:t>wasser</w:t>
      </w:r>
      <w:r w:rsidR="009577B6" w:rsidRPr="00BB6654">
        <w:t>versorgungs</w:t>
      </w:r>
      <w:r w:rsidR="00F46EC8" w:rsidRPr="00BB6654">
        <w:t xml:space="preserve">leistung von </w:t>
      </w:r>
      <w:r w:rsidRPr="00BB6654">
        <w:t>bis zu 192 m³/h Wasser mit nur einer Hauptlöschpumpe.</w:t>
      </w:r>
      <w:r w:rsidR="00FF131F" w:rsidRPr="00BB6654">
        <w:t xml:space="preserve"> </w:t>
      </w:r>
      <w:r w:rsidR="00B9316D" w:rsidRPr="00BB6654">
        <w:t>Ausgelegt sind d</w:t>
      </w:r>
      <w:r w:rsidRPr="00BB6654">
        <w:t>ie Anlagen für die Brandschutz-Wasserversorgung von Objekten, wie Mehrfamilien-, Wohn-</w:t>
      </w:r>
      <w:r w:rsidR="004A2EB4">
        <w:t>, Büro-</w:t>
      </w:r>
      <w:r w:rsidRPr="00BB6654">
        <w:t xml:space="preserve"> und Park- sowie Krankenhäusern.</w:t>
      </w:r>
    </w:p>
    <w:p w14:paraId="25C93A07" w14:textId="77777777" w:rsidR="002009B0" w:rsidRPr="00BB6654" w:rsidRDefault="002009B0" w:rsidP="00FF131F">
      <w:pPr>
        <w:jc w:val="both"/>
        <w:rPr>
          <w:lang w:eastAsia="en-US"/>
        </w:rPr>
      </w:pPr>
    </w:p>
    <w:p w14:paraId="33C3E3C7" w14:textId="50F01190" w:rsidR="002009B0" w:rsidRPr="00BB6654" w:rsidRDefault="002009B0" w:rsidP="00FF131F">
      <w:pPr>
        <w:jc w:val="both"/>
      </w:pPr>
      <w:r w:rsidRPr="00BB6654">
        <w:t xml:space="preserve">Die vollautomatische Feuerlöschtrennstation </w:t>
      </w:r>
      <w:r w:rsidR="00F66F79" w:rsidRPr="00BB6654">
        <w:t xml:space="preserve">ist </w:t>
      </w:r>
      <w:r w:rsidRPr="00BB6654">
        <w:t>mit zwei 100-Prozent-Pumpen</w:t>
      </w:r>
      <w:r w:rsidR="00F66F79" w:rsidRPr="00BB6654">
        <w:t xml:space="preserve"> ausgestattet</w:t>
      </w:r>
      <w:r w:rsidRPr="00BB6654">
        <w:t>,</w:t>
      </w:r>
      <w:r w:rsidR="00F66F79" w:rsidRPr="00BB6654">
        <w:t xml:space="preserve"> die beide</w:t>
      </w:r>
      <w:r w:rsidRPr="00BB6654">
        <w:t xml:space="preserve"> ein</w:t>
      </w:r>
      <w:r w:rsidR="00F66F79" w:rsidRPr="00BB6654">
        <w:t xml:space="preserve">en </w:t>
      </w:r>
      <w:r w:rsidRPr="00BB6654">
        <w:t>eigenen Strom- und Steuersystemkreis</w:t>
      </w:r>
      <w:r w:rsidR="00F66F79" w:rsidRPr="00BB6654">
        <w:t xml:space="preserve"> besitzen</w:t>
      </w:r>
      <w:r w:rsidRPr="00BB6654">
        <w:t>.</w:t>
      </w:r>
      <w:r w:rsidR="00F46EC8" w:rsidRPr="00BB6654">
        <w:t xml:space="preserve"> Ihre redundant aufgebauten Anlagensteuerungen</w:t>
      </w:r>
      <w:r w:rsidRPr="00BB6654">
        <w:t xml:space="preserve"> überwach</w:t>
      </w:r>
      <w:r w:rsidR="00B9316D" w:rsidRPr="00BB6654">
        <w:t>en</w:t>
      </w:r>
      <w:r w:rsidRPr="00BB6654">
        <w:t xml:space="preserve"> Druckschalter und Grenztaster stetig auf Drahtbrüche oder Kurzschlüsse.</w:t>
      </w:r>
      <w:r w:rsidR="00FF131F" w:rsidRPr="00BB6654">
        <w:t xml:space="preserve"> </w:t>
      </w:r>
      <w:r w:rsidRPr="00BB6654">
        <w:t>Motor- und Trockenlauf</w:t>
      </w:r>
      <w:r w:rsidR="008730AE">
        <w:softHyphen/>
      </w:r>
      <w:r w:rsidRPr="00BB6654">
        <w:t>schutz sind im Brandfall deaktiviert, damit die Pumpe</w:t>
      </w:r>
      <w:r w:rsidR="004A2EB4">
        <w:t>n</w:t>
      </w:r>
      <w:r w:rsidRPr="00BB6654">
        <w:t xml:space="preserve"> nicht vor Beenden des Löscheinsatzes abschalten.</w:t>
      </w:r>
    </w:p>
    <w:p w14:paraId="7D061CD6" w14:textId="77777777" w:rsidR="002009B0" w:rsidRPr="00BB6654" w:rsidRDefault="002009B0" w:rsidP="00FF131F">
      <w:pPr>
        <w:jc w:val="both"/>
      </w:pPr>
    </w:p>
    <w:p w14:paraId="6E8D2BE2" w14:textId="0416137E" w:rsidR="002009B0" w:rsidRPr="00BB6654" w:rsidRDefault="002009B0" w:rsidP="00FF131F">
      <w:pPr>
        <w:jc w:val="both"/>
      </w:pPr>
      <w:r w:rsidRPr="00BB6654">
        <w:t>Der Hauptschalter und die Armaturen sind gegen unbefugte Betätigung gesichert. Fällt eine Pumpe aus, übernimmt die redundante Steuerung und schaltet die zweite Pumpe ein.</w:t>
      </w:r>
      <w:r w:rsidR="00FF131F" w:rsidRPr="00BB6654">
        <w:t xml:space="preserve"> </w:t>
      </w:r>
      <w:r w:rsidRPr="00BB6654">
        <w:t>Das bedeutet ein hohes Maß an Sicherheit für den Betreiber</w:t>
      </w:r>
      <w:r w:rsidR="00F46EC8" w:rsidRPr="00BB6654">
        <w:t xml:space="preserve"> und de</w:t>
      </w:r>
      <w:r w:rsidR="00BB6654" w:rsidRPr="00BB6654">
        <w:t>r</w:t>
      </w:r>
      <w:r w:rsidR="00F46EC8" w:rsidRPr="00BB6654">
        <w:t xml:space="preserve"> zu </w:t>
      </w:r>
      <w:bookmarkStart w:id="0" w:name="_GoBack"/>
      <w:r w:rsidR="00F46EC8" w:rsidRPr="00BB6654">
        <w:t xml:space="preserve">schützenden </w:t>
      </w:r>
      <w:r w:rsidR="00BB6654" w:rsidRPr="00BB6654">
        <w:t>Gebäude sowie der Infrastruktur</w:t>
      </w:r>
      <w:r w:rsidRPr="00BB6654">
        <w:t>.</w:t>
      </w:r>
    </w:p>
    <w:bookmarkEnd w:id="0"/>
    <w:p w14:paraId="38D97DE7" w14:textId="77777777" w:rsidR="002009B0" w:rsidRPr="00BB6654" w:rsidRDefault="002009B0" w:rsidP="00FF131F">
      <w:pPr>
        <w:jc w:val="both"/>
      </w:pPr>
    </w:p>
    <w:p w14:paraId="0ABFEA0D" w14:textId="24DEA844" w:rsidR="002009B0" w:rsidRPr="00BB6654" w:rsidRDefault="00F66F79" w:rsidP="00FF131F">
      <w:pPr>
        <w:jc w:val="both"/>
      </w:pPr>
      <w:r w:rsidRPr="00BB6654">
        <w:t>Der Behälter sorgt für die hygienische Trennung von Trinkwasser und Feuerlöschwasser gemäß EN 1717 Typ AB</w:t>
      </w:r>
      <w:r w:rsidR="00F46EC8" w:rsidRPr="00BB6654">
        <w:t xml:space="preserve"> </w:t>
      </w:r>
      <w:r w:rsidR="00BB6654" w:rsidRPr="00BB6654">
        <w:t>Das Netto</w:t>
      </w:r>
      <w:r w:rsidR="008730AE">
        <w:softHyphen/>
      </w:r>
      <w:r w:rsidR="00BB6654" w:rsidRPr="00BB6654">
        <w:t>tankvolumen ist gemäß der normgeforderten 3-Prozentregel ausgelegt.</w:t>
      </w:r>
      <w:r w:rsidR="00FF131F" w:rsidRPr="00BB6654">
        <w:t xml:space="preserve"> </w:t>
      </w:r>
      <w:r w:rsidR="002009B0" w:rsidRPr="00BB6654">
        <w:t>Dank der modularen Bauweise kann die Aufstellung und die Installation der Abwasseranschlüsse zeit- sowie kostengünstig erfolgen</w:t>
      </w:r>
      <w:r w:rsidR="004A2EB4">
        <w:t>.</w:t>
      </w:r>
      <w:r w:rsidR="00BB6654" w:rsidRPr="00BB6654">
        <w:t xml:space="preserve"> Die Notentwässerung des Vorbehälters wird nicht durch die Feuerlöschpumpen übernommen, sondern durch eine separate den Räumlichkeiten vor Ort angepasste Lösung realisiert.</w:t>
      </w:r>
    </w:p>
    <w:p w14:paraId="7F82B41C" w14:textId="77777777" w:rsidR="002009B0" w:rsidRPr="00BB6654" w:rsidRDefault="002009B0" w:rsidP="00FF131F">
      <w:pPr>
        <w:jc w:val="both"/>
      </w:pPr>
    </w:p>
    <w:p w14:paraId="544489A3" w14:textId="0972FBE0" w:rsidR="002009B0" w:rsidRPr="00FF131F" w:rsidRDefault="002009B0" w:rsidP="00FF131F">
      <w:pPr>
        <w:jc w:val="both"/>
      </w:pPr>
      <w:r w:rsidRPr="00BB6654">
        <w:t xml:space="preserve">Die Nachspeisung </w:t>
      </w:r>
      <w:r w:rsidR="00F66F79" w:rsidRPr="00BB6654">
        <w:t xml:space="preserve">erfolgt </w:t>
      </w:r>
      <w:r w:rsidRPr="00BB6654">
        <w:t>über eine vo</w:t>
      </w:r>
      <w:r w:rsidR="00F66F79" w:rsidRPr="00BB6654">
        <w:t xml:space="preserve">m </w:t>
      </w:r>
      <w:r w:rsidRPr="00BB6654">
        <w:t>DVGW zugelassene trinkwassergeeignete Zulaufarmatur und funktioniert mit Vor</w:t>
      </w:r>
      <w:r w:rsidR="008730AE">
        <w:softHyphen/>
      </w:r>
      <w:r w:rsidRPr="00BB6654">
        <w:t>drücken zwischen 1,5 und 5 bar.</w:t>
      </w:r>
      <w:r w:rsidR="00FF131F" w:rsidRPr="00BB6654">
        <w:t xml:space="preserve"> </w:t>
      </w:r>
      <w:r w:rsidRPr="00BB6654">
        <w:t xml:space="preserve">Trinkwasser und Löschwasser sind gemäß </w:t>
      </w:r>
      <w:r w:rsidR="00FF131F" w:rsidRPr="00BB6654">
        <w:t xml:space="preserve">den Normen </w:t>
      </w:r>
      <w:r w:rsidRPr="00BB6654">
        <w:t>DIN EN 1717 und DIN EN 13077 Typ AB</w:t>
      </w:r>
      <w:r w:rsidRPr="00FF131F">
        <w:t xml:space="preserve"> hygienisch voneinander getrennt. Das und eine regelmäßige Spülung der Armatur schließen eine </w:t>
      </w:r>
      <w:proofErr w:type="spellStart"/>
      <w:r w:rsidRPr="00FF131F">
        <w:t>Verkeimung</w:t>
      </w:r>
      <w:proofErr w:type="spellEnd"/>
      <w:r w:rsidRPr="00FF131F">
        <w:t xml:space="preserve"> des Trinkwassers aus.</w:t>
      </w:r>
    </w:p>
    <w:p w14:paraId="6461089B" w14:textId="77777777" w:rsidR="002009B0" w:rsidRPr="00FF131F" w:rsidRDefault="002009B0" w:rsidP="00FF131F">
      <w:pPr>
        <w:jc w:val="both"/>
      </w:pPr>
    </w:p>
    <w:p w14:paraId="79940CB4" w14:textId="0983A4C2" w:rsidR="002009B0" w:rsidRPr="00FF131F" w:rsidRDefault="002009B0" w:rsidP="00FF131F">
      <w:pPr>
        <w:jc w:val="both"/>
      </w:pPr>
      <w:r w:rsidRPr="00FF131F">
        <w:t>Ein automatisierter täglicher Funktionslauf erhöht die Betriebs</w:t>
      </w:r>
      <w:r w:rsidR="00B9316D">
        <w:softHyphen/>
      </w:r>
      <w:r w:rsidRPr="00FF131F">
        <w:t>sicherheit und sorgt dafür, dass der Betreiber immer über die Einsatzbereitschaft der Anlage informiert ist.</w:t>
      </w:r>
      <w:r w:rsidR="00FF131F" w:rsidRPr="00FF131F">
        <w:t xml:space="preserve"> </w:t>
      </w:r>
      <w:r w:rsidRPr="00FF131F">
        <w:t>Bei beengten Platz</w:t>
      </w:r>
      <w:r w:rsidR="00B9316D">
        <w:softHyphen/>
      </w:r>
      <w:r w:rsidRPr="00FF131F">
        <w:t>verhältnissen können die notwendigen Tanks mit Überlauf vom Typ AB zur sicheren Trennung vo</w:t>
      </w:r>
      <w:r w:rsidR="004A2EB4">
        <w:t>n</w:t>
      </w:r>
      <w:r w:rsidRPr="00FF131F">
        <w:t xml:space="preserve"> Trink</w:t>
      </w:r>
      <w:r w:rsidR="004A2EB4">
        <w:t>- und</w:t>
      </w:r>
      <w:r w:rsidRPr="00FF131F">
        <w:t xml:space="preserve"> Löschwasser vor Ort zusammengeschweißt werden.</w:t>
      </w:r>
      <w:r w:rsidR="00FF131F" w:rsidRPr="00FF131F">
        <w:t xml:space="preserve"> </w:t>
      </w:r>
      <w:r w:rsidRPr="00FF131F">
        <w:t>Die Produktion der Anlage findet ausschließlich in Deutschland statt.</w:t>
      </w:r>
    </w:p>
    <w:p w14:paraId="3FB852E5" w14:textId="77777777" w:rsidR="00FF131F" w:rsidRPr="00FF131F" w:rsidRDefault="00FF131F" w:rsidP="00FF131F">
      <w:pPr>
        <w:jc w:val="both"/>
      </w:pPr>
    </w:p>
    <w:p w14:paraId="1D50FEA0" w14:textId="77777777" w:rsidR="002009B0" w:rsidRPr="00FF131F" w:rsidRDefault="002009B0" w:rsidP="00FF131F">
      <w:pPr>
        <w:jc w:val="both"/>
        <w:rPr>
          <w:i/>
        </w:rPr>
      </w:pPr>
      <w:r w:rsidRPr="00FF131F">
        <w:rPr>
          <w:i/>
        </w:rPr>
        <w:t>Foto: Die neuen vollautomatische</w:t>
      </w:r>
      <w:r w:rsidR="00F66F79" w:rsidRPr="00FF131F">
        <w:rPr>
          <w:i/>
        </w:rPr>
        <w:t>n</w:t>
      </w:r>
      <w:r w:rsidRPr="00FF131F">
        <w:rPr>
          <w:i/>
        </w:rPr>
        <w:t xml:space="preserve"> Feuerlöschtrennstationen vom Typ </w:t>
      </w:r>
      <w:proofErr w:type="spellStart"/>
      <w:r w:rsidRPr="00FF131F">
        <w:rPr>
          <w:i/>
        </w:rPr>
        <w:t>Hya</w:t>
      </w:r>
      <w:proofErr w:type="spellEnd"/>
      <w:r w:rsidRPr="00FF131F">
        <w:rPr>
          <w:i/>
        </w:rPr>
        <w:t>-Duo D FL-R</w:t>
      </w:r>
      <w:r w:rsidR="00F66F79" w:rsidRPr="00FF131F">
        <w:rPr>
          <w:i/>
        </w:rPr>
        <w:t xml:space="preserve"> </w:t>
      </w:r>
      <w:r w:rsidRPr="00FF131F">
        <w:rPr>
          <w:i/>
        </w:rPr>
        <w:t xml:space="preserve">können im Brandfall </w:t>
      </w:r>
      <w:r w:rsidR="00F66F79" w:rsidRPr="00FF131F">
        <w:rPr>
          <w:i/>
        </w:rPr>
        <w:t>192 Kubikmeter Löschwasser in der Stunde fördern.</w:t>
      </w:r>
    </w:p>
    <w:p w14:paraId="4744F506" w14:textId="77777777" w:rsidR="00A17B45" w:rsidRPr="00FF131F" w:rsidRDefault="00A17B45" w:rsidP="00FF131F">
      <w:pPr>
        <w:jc w:val="both"/>
      </w:pPr>
    </w:p>
    <w:sectPr w:rsidR="00A17B45" w:rsidRPr="00FF131F" w:rsidSect="009602AC">
      <w:headerReference w:type="even" r:id="rId6"/>
      <w:headerReference w:type="default" r:id="rId7"/>
      <w:footerReference w:type="default" r:id="rId8"/>
      <w:headerReference w:type="first" r:id="rId9"/>
      <w:pgSz w:w="11906" w:h="16838" w:code="9"/>
      <w:pgMar w:top="1134" w:right="2975" w:bottom="1702" w:left="2410" w:header="567" w:footer="170" w:gutter="0"/>
      <w:cols w:space="720"/>
      <w:titlePg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4517EF" w14:textId="77777777" w:rsidR="00A008CD" w:rsidRDefault="00A008CD">
      <w:r>
        <w:separator/>
      </w:r>
    </w:p>
  </w:endnote>
  <w:endnote w:type="continuationSeparator" w:id="0">
    <w:p w14:paraId="5638DD34" w14:textId="77777777" w:rsidR="00A008CD" w:rsidRDefault="00A008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 w14:paraId="20CA4B2D" w14:textId="77777777">
      <w:trPr>
        <w:trHeight w:hRule="exact" w:val="1320"/>
      </w:trPr>
      <w:tc>
        <w:tcPr>
          <w:tcW w:w="9979" w:type="dxa"/>
        </w:tcPr>
        <w:p w14:paraId="744BF386" w14:textId="77777777" w:rsidR="00A4139C" w:rsidRDefault="00170D6E">
          <w:pPr>
            <w:pStyle w:val="Fuzeile"/>
          </w:pPr>
          <w:bookmarkStart w:id="2" w:name="Fusszeile"/>
          <w:r>
            <w:rPr>
              <w:noProof/>
            </w:rPr>
            <w:drawing>
              <wp:inline distT="0" distB="0" distL="0" distR="0" wp14:anchorId="493A4403" wp14:editId="5B4FF829">
                <wp:extent cx="6322695" cy="855980"/>
                <wp:effectExtent l="0" t="0" r="1905" b="1270"/>
                <wp:docPr id="30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14:paraId="0BB2BB9E" w14:textId="77777777"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E8495" w14:textId="77777777" w:rsidR="00A008CD" w:rsidRDefault="00A008CD">
      <w:r>
        <w:separator/>
      </w:r>
    </w:p>
  </w:footnote>
  <w:footnote w:type="continuationSeparator" w:id="0">
    <w:p w14:paraId="09DAE3E9" w14:textId="77777777" w:rsidR="00A008CD" w:rsidRDefault="00A008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7246B5" w14:textId="77777777" w:rsidR="00A4139C" w:rsidRDefault="0086737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A4139C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A4139C">
      <w:rPr>
        <w:rStyle w:val="Seitenzahl"/>
        <w:noProof/>
      </w:rPr>
      <w:t>1</w:t>
    </w:r>
    <w:r>
      <w:rPr>
        <w:rStyle w:val="Seitenzahl"/>
      </w:rPr>
      <w:fldChar w:fldCharType="end"/>
    </w:r>
  </w:p>
  <w:p w14:paraId="390F4846" w14:textId="77777777"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D734EC" w14:textId="648F57E0"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170D6E">
      <w:fldChar w:fldCharType="begin"/>
    </w:r>
    <w:r w:rsidR="00170D6E">
      <w:instrText xml:space="preserve"> PAGE </w:instrText>
    </w:r>
    <w:r w:rsidR="00170D6E">
      <w:fldChar w:fldCharType="separate"/>
    </w:r>
    <w:r w:rsidR="009602AC">
      <w:rPr>
        <w:noProof/>
      </w:rPr>
      <w:t>2</w:t>
    </w:r>
    <w:r w:rsidR="00170D6E">
      <w:rPr>
        <w:noProof/>
      </w:rPr>
      <w:fldChar w:fldCharType="end"/>
    </w:r>
    <w:r>
      <w:t xml:space="preserve"> -</w:t>
    </w:r>
  </w:p>
  <w:p w14:paraId="1C160CD1" w14:textId="77777777" w:rsidR="00A4139C" w:rsidRDefault="00170D6E">
    <w:pPr>
      <w:pStyle w:val="Kopfzeile"/>
      <w:jc w:val="right"/>
    </w:pPr>
    <w:r>
      <w:rPr>
        <w:noProof/>
      </w:rPr>
      <w:drawing>
        <wp:inline distT="0" distB="0" distL="0" distR="0" wp14:anchorId="3D3CD318" wp14:editId="617B10A4">
          <wp:extent cx="1190625" cy="513715"/>
          <wp:effectExtent l="0" t="0" r="9525" b="635"/>
          <wp:docPr id="29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14:paraId="14F6618E" w14:textId="77777777" w:rsidR="00A4139C" w:rsidRDefault="00A4139C">
    <w:pPr>
      <w:pStyle w:val="Kopfzeile"/>
      <w:jc w:val="right"/>
    </w:pPr>
  </w:p>
  <w:p w14:paraId="4B093DD5" w14:textId="77777777" w:rsidR="00A4139C" w:rsidRDefault="00A4139C">
    <w:pPr>
      <w:pStyle w:val="Kopfzeile"/>
      <w:jc w:val="right"/>
    </w:pPr>
  </w:p>
  <w:p w14:paraId="3C95E587" w14:textId="77777777" w:rsidR="00A4139C" w:rsidRDefault="00A413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B5B9CD" w14:textId="77777777" w:rsidR="00A4139C" w:rsidRDefault="00A4139C">
    <w:pPr>
      <w:pStyle w:val="Kopfzeile"/>
      <w:jc w:val="right"/>
    </w:pPr>
  </w:p>
  <w:p w14:paraId="27A5A4EC" w14:textId="77777777" w:rsidR="00A4139C" w:rsidRDefault="00A4139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79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8069DA71-7812-461E-8395-E2C2D2AA841F}"/>
    <w:docVar w:name="dgnword-eventsink" w:val="259601224"/>
  </w:docVars>
  <w:rsids>
    <w:rsidRoot w:val="008D1969"/>
    <w:rsid w:val="00010238"/>
    <w:rsid w:val="00170D6E"/>
    <w:rsid w:val="002009B0"/>
    <w:rsid w:val="00323A25"/>
    <w:rsid w:val="0033361A"/>
    <w:rsid w:val="00334863"/>
    <w:rsid w:val="00362A5F"/>
    <w:rsid w:val="003971CC"/>
    <w:rsid w:val="003B3FF5"/>
    <w:rsid w:val="00444D09"/>
    <w:rsid w:val="004A2EB4"/>
    <w:rsid w:val="004A6F3C"/>
    <w:rsid w:val="004B4A5F"/>
    <w:rsid w:val="00514B86"/>
    <w:rsid w:val="00544D0E"/>
    <w:rsid w:val="005579B5"/>
    <w:rsid w:val="00563D15"/>
    <w:rsid w:val="005A74BA"/>
    <w:rsid w:val="00635E1B"/>
    <w:rsid w:val="00774E20"/>
    <w:rsid w:val="0086737F"/>
    <w:rsid w:val="008730AE"/>
    <w:rsid w:val="008D1969"/>
    <w:rsid w:val="00947AA4"/>
    <w:rsid w:val="009577B6"/>
    <w:rsid w:val="009602AC"/>
    <w:rsid w:val="009B036D"/>
    <w:rsid w:val="00A008CD"/>
    <w:rsid w:val="00A17B45"/>
    <w:rsid w:val="00A4139C"/>
    <w:rsid w:val="00A61931"/>
    <w:rsid w:val="00AC1B2C"/>
    <w:rsid w:val="00B9316D"/>
    <w:rsid w:val="00BB6654"/>
    <w:rsid w:val="00BC78D1"/>
    <w:rsid w:val="00C476F0"/>
    <w:rsid w:val="00D76206"/>
    <w:rsid w:val="00E35697"/>
    <w:rsid w:val="00F46EC8"/>
    <w:rsid w:val="00F66F79"/>
    <w:rsid w:val="00FF1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09B89889"/>
  <w15:chartTrackingRefBased/>
  <w15:docId w15:val="{734259E6-94AB-4CE1-8EC5-5BA6C6D1C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6737F"/>
    <w:rPr>
      <w:rFonts w:ascii="Arial" w:hAnsi="Arial" w:cs="Arial"/>
      <w:sz w:val="22"/>
      <w:szCs w:val="22"/>
      <w:lang w:val="de-DE" w:eastAsia="de-DE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6737F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  <w:rsid w:val="0086737F"/>
  </w:style>
  <w:style w:type="paragraph" w:customStyle="1" w:styleId="Default">
    <w:name w:val="Default"/>
    <w:rsid w:val="00C476F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de-DE"/>
    </w:rPr>
  </w:style>
  <w:style w:type="character" w:styleId="Kommentarzeichen">
    <w:name w:val="annotation reference"/>
    <w:basedOn w:val="Absatz-Standardschriftart"/>
    <w:semiHidden/>
    <w:unhideWhenUsed/>
    <w:rsid w:val="00F46EC8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F46EC8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F46EC8"/>
    <w:rPr>
      <w:rFonts w:ascii="Arial" w:hAnsi="Arial" w:cs="Arial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F46EC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F46EC8"/>
    <w:rPr>
      <w:rFonts w:ascii="Arial" w:hAnsi="Arial" w:cs="Arial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semiHidden/>
    <w:unhideWhenUsed/>
    <w:rsid w:val="00F46EC8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F46EC8"/>
    <w:rPr>
      <w:rFonts w:ascii="Segoe UI" w:hAnsi="Segoe UI" w:cs="Segoe UI"/>
      <w:sz w:val="18"/>
      <w:szCs w:val="18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978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329</Words>
  <Characters>2300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Aktiengesellschaft • Johann-Klein-Straße 9 • 67227 Frankenthal</vt:lpstr>
    </vt:vector>
  </TitlesOfParts>
  <Company>KSB Group</Company>
  <LinksUpToDate>false</LinksUpToDate>
  <CharactersWithSpaces>2624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subject/>
  <dc:creator>Pauly, Christoph</dc:creator>
  <cp:keywords/>
  <dc:description/>
  <cp:lastModifiedBy>Pauly, Christoph</cp:lastModifiedBy>
  <cp:revision>3</cp:revision>
  <cp:lastPrinted>2006-04-21T08:51:00Z</cp:lastPrinted>
  <dcterms:created xsi:type="dcterms:W3CDTF">2022-04-08T09:17:00Z</dcterms:created>
  <dcterms:modified xsi:type="dcterms:W3CDTF">2022-04-08T09:19:00Z</dcterms:modified>
</cp:coreProperties>
</file>