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139C" w:rsidRPr="00F71077" w:rsidRDefault="00711499" w:rsidP="002A503B">
      <w:pPr>
        <w:jc w:val="both"/>
        <w:rPr>
          <w:b/>
        </w:rPr>
      </w:pPr>
      <w:r w:rsidRPr="00F71077">
        <w:rPr>
          <w:b/>
        </w:rPr>
        <w:t>New break tank package booster set for drinking water</w:t>
      </w:r>
    </w:p>
    <w:p w:rsidR="00711499" w:rsidRPr="00F71077" w:rsidRDefault="00711499" w:rsidP="002A503B">
      <w:pPr>
        <w:jc w:val="both"/>
      </w:pPr>
    </w:p>
    <w:p w:rsidR="009843EB" w:rsidRPr="00F71077" w:rsidRDefault="009843EB" w:rsidP="002A503B">
      <w:pPr>
        <w:jc w:val="both"/>
      </w:pPr>
      <w:r w:rsidRPr="00F71077">
        <w:t xml:space="preserve">In </w:t>
      </w:r>
      <w:proofErr w:type="gramStart"/>
      <w:r w:rsidRPr="00F71077">
        <w:t>2018</w:t>
      </w:r>
      <w:proofErr w:type="gramEnd"/>
      <w:r w:rsidRPr="00F71077">
        <w:t xml:space="preserve"> the regulations for drinking water hygiene in Europe were tightened. Applications affected are those where gradual microbial contamination of stagnating water could contaminate the mains water in the event of backflow.</w:t>
      </w:r>
    </w:p>
    <w:p w:rsidR="009843EB" w:rsidRPr="00F71077" w:rsidRDefault="009843EB" w:rsidP="002A503B">
      <w:pPr>
        <w:jc w:val="both"/>
      </w:pPr>
    </w:p>
    <w:p w:rsidR="009843EB" w:rsidRPr="00F71077" w:rsidRDefault="009843EB" w:rsidP="002A503B">
      <w:pPr>
        <w:jc w:val="both"/>
      </w:pPr>
      <w:r w:rsidRPr="00F71077">
        <w:t>For separating such applications from the mains water, for example buried spray irrigation systems, cattle troughs and service water supply systems as well as dental chairs with a water connection, the pump manufacturer KSB is offering its new KSB Safety Boost break tank package booster set.</w:t>
      </w:r>
    </w:p>
    <w:p w:rsidR="00372D5D" w:rsidRPr="00F71077" w:rsidRDefault="00372D5D" w:rsidP="002A503B">
      <w:pPr>
        <w:jc w:val="both"/>
        <w:rPr>
          <w:rFonts w:cs="Corporate S"/>
          <w:color w:val="000000"/>
          <w:sz w:val="20"/>
          <w:szCs w:val="20"/>
        </w:rPr>
      </w:pPr>
    </w:p>
    <w:p w:rsidR="002A503B" w:rsidRPr="00F71077" w:rsidRDefault="00372D5D" w:rsidP="002A503B">
      <w:pPr>
        <w:jc w:val="both"/>
      </w:pPr>
      <w:r w:rsidRPr="00F71077">
        <w:t xml:space="preserve">This set provides the highest level of protection for liquids of category 5 to DIN EN 1717. The fully automatic, ready-to-connect set is equipped with a vertical high-pressure pump. It is modular in design and mounted on a baseplate. The maximum flow rate per set equals </w:t>
      </w:r>
      <w:proofErr w:type="gramStart"/>
      <w:r w:rsidRPr="00F71077">
        <w:t>7</w:t>
      </w:r>
      <w:proofErr w:type="gramEnd"/>
      <w:r w:rsidRPr="00F71077">
        <w:t> m</w:t>
      </w:r>
      <w:r w:rsidR="002A503B" w:rsidRPr="00F71077">
        <w:rPr>
          <w:vertAlign w:val="superscript"/>
        </w:rPr>
        <w:t>3</w:t>
      </w:r>
      <w:r w:rsidRPr="00F71077">
        <w:t>/h, the highest head 76 metres.</w:t>
      </w:r>
    </w:p>
    <w:p w:rsidR="00A41D1B" w:rsidRPr="00F71077" w:rsidRDefault="00A41D1B" w:rsidP="00B13C1A">
      <w:pPr>
        <w:jc w:val="both"/>
      </w:pPr>
    </w:p>
    <w:p w:rsidR="00372D5D" w:rsidRPr="00F71077" w:rsidRDefault="00B85417" w:rsidP="00B13C1A">
      <w:pPr>
        <w:jc w:val="both"/>
      </w:pPr>
      <w:r w:rsidRPr="00F71077">
        <w:t xml:space="preserve">Pressure control </w:t>
      </w:r>
      <w:proofErr w:type="gramStart"/>
      <w:r w:rsidRPr="00F71077">
        <w:t>is carried out</w:t>
      </w:r>
      <w:proofErr w:type="gramEnd"/>
      <w:r w:rsidRPr="00F71077">
        <w:t xml:space="preserve"> by an automatic control unit, by means of a pressure switch for the fixed speed version, or by means of a motor-mounted frequency inverter for the variable speed version. All components that can </w:t>
      </w:r>
      <w:proofErr w:type="gramStart"/>
      <w:r w:rsidRPr="00F71077">
        <w:t>come into contact with</w:t>
      </w:r>
      <w:proofErr w:type="gramEnd"/>
      <w:r w:rsidRPr="00F71077">
        <w:t xml:space="preserve"> drinking water have been approved for drinking water applications. Mains water </w:t>
      </w:r>
      <w:proofErr w:type="gramStart"/>
      <w:r w:rsidRPr="00F71077">
        <w:t>is supplied</w:t>
      </w:r>
      <w:proofErr w:type="gramEnd"/>
      <w:r w:rsidRPr="00F71077">
        <w:t xml:space="preserve"> to the set via a DVGW-certified flushing valve and a float valve made of materials meeting the KTW and W270 requirements.</w:t>
      </w:r>
    </w:p>
    <w:p w:rsidR="00BC4557" w:rsidRPr="00F71077" w:rsidRDefault="00BC4557" w:rsidP="002A503B">
      <w:pPr>
        <w:jc w:val="both"/>
      </w:pPr>
    </w:p>
    <w:p w:rsidR="008C0894" w:rsidRPr="00F71077" w:rsidRDefault="00BC4557" w:rsidP="002A503B">
      <w:pPr>
        <w:jc w:val="both"/>
      </w:pPr>
      <w:r w:rsidRPr="00F71077">
        <w:t xml:space="preserve">The tank </w:t>
      </w:r>
      <w:proofErr w:type="gramStart"/>
      <w:r w:rsidRPr="00F71077">
        <w:t>has got</w:t>
      </w:r>
      <w:proofErr w:type="gramEnd"/>
      <w:r w:rsidRPr="00F71077">
        <w:t xml:space="preserve"> an effective volume of 100 litres and is made of environmentally friendly, recyclable PPA plastic. All metal components fitted are made of corrosion-resistant, high-quality stainless steels. The tank </w:t>
      </w:r>
      <w:proofErr w:type="gramStart"/>
      <w:r w:rsidRPr="00F71077">
        <w:t>is designed</w:t>
      </w:r>
      <w:proofErr w:type="gramEnd"/>
      <w:r w:rsidRPr="00F71077">
        <w:t xml:space="preserve"> with a type AB air gap.</w:t>
      </w:r>
    </w:p>
    <w:p w:rsidR="008C0894" w:rsidRPr="00F71077" w:rsidRDefault="008C0894" w:rsidP="002A503B">
      <w:pPr>
        <w:jc w:val="both"/>
      </w:pPr>
    </w:p>
    <w:p w:rsidR="00F50851" w:rsidRPr="00F71077" w:rsidRDefault="008C0894" w:rsidP="002A503B">
      <w:pPr>
        <w:jc w:val="both"/>
      </w:pPr>
      <w:r w:rsidRPr="00F71077">
        <w:t xml:space="preserve">The set is easy and fast to commission. Every KSB Safety Boost set </w:t>
      </w:r>
      <w:proofErr w:type="gramStart"/>
      <w:r w:rsidRPr="00F71077">
        <w:t>is supplied</w:t>
      </w:r>
      <w:proofErr w:type="gramEnd"/>
      <w:r w:rsidRPr="00F71077">
        <w:t xml:space="preserve"> ready-to-connect, pre-assembled and tested. Once the set </w:t>
      </w:r>
      <w:proofErr w:type="gramStart"/>
      <w:r w:rsidRPr="00F71077">
        <w:t>has been connected</w:t>
      </w:r>
      <w:proofErr w:type="gramEnd"/>
      <w:r w:rsidRPr="00F71077">
        <w:t xml:space="preserve"> to the piping, the 230 V connection simply has to be plugged into a socket (plug-and-play). With the variable speed version, called MVP, the user can opt to </w:t>
      </w:r>
      <w:proofErr w:type="gramStart"/>
      <w:r w:rsidRPr="00F71077">
        <w:t>be supported</w:t>
      </w:r>
      <w:proofErr w:type="gramEnd"/>
      <w:r w:rsidRPr="00F71077">
        <w:t xml:space="preserve"> by an app for commissioning and operation.</w:t>
      </w:r>
    </w:p>
    <w:p w:rsidR="00F50851" w:rsidRPr="00F71077" w:rsidRDefault="00F50851" w:rsidP="002A503B">
      <w:pPr>
        <w:jc w:val="both"/>
      </w:pPr>
    </w:p>
    <w:p w:rsidR="00A03387" w:rsidRPr="00F71077" w:rsidRDefault="00370A96" w:rsidP="002A503B">
      <w:pPr>
        <w:jc w:val="both"/>
      </w:pPr>
      <w:r w:rsidRPr="00F71077">
        <w:t xml:space="preserve">Photo: The new KSB Safety Boost </w:t>
      </w:r>
      <w:proofErr w:type="gramStart"/>
      <w:r w:rsidRPr="00F71077">
        <w:t>break tank package booster</w:t>
      </w:r>
      <w:proofErr w:type="gramEnd"/>
      <w:r w:rsidRPr="00F71077">
        <w:t xml:space="preserve"> set separates the mains water from spray irrigation and service water systems, from cattle troughs and dental chairs with a water connection. (© KSB SE &amp; Co. KGaA)</w:t>
      </w:r>
      <w:bookmarkStart w:id="0" w:name="_GoBack"/>
      <w:bookmarkEnd w:id="0"/>
    </w:p>
    <w:sectPr w:rsidR="00A03387" w:rsidRPr="00F71077" w:rsidSect="00A24BE1">
      <w:headerReference w:type="even" r:id="rId7"/>
      <w:headerReference w:type="default" r:id="rId8"/>
      <w:footerReference w:type="default" r:id="rId9"/>
      <w:headerReference w:type="first" r:id="rId10"/>
      <w:pgSz w:w="11906" w:h="16838" w:code="9"/>
      <w:pgMar w:top="1134" w:right="3117" w:bottom="2268" w:left="1843"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2EC" w:rsidRDefault="00E442EC">
      <w:r>
        <w:separator/>
      </w:r>
    </w:p>
  </w:endnote>
  <w:endnote w:type="continuationSeparator" w:id="0">
    <w:p w:rsidR="00E442EC" w:rsidRDefault="00E442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rporate S">
    <w:altName w:val="Corporate S"/>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14:anchorId="3CC49524" wp14:editId="5C9A4B16">
                <wp:extent cx="6322695" cy="855980"/>
                <wp:effectExtent l="0" t="0" r="1905" b="1270"/>
                <wp:docPr id="4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2EC" w:rsidRDefault="00E442EC">
      <w:r>
        <w:separator/>
      </w:r>
    </w:p>
  </w:footnote>
  <w:footnote w:type="continuationSeparator" w:id="0">
    <w:p w:rsidR="00E442EC" w:rsidRDefault="00E442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0817F0">
      <w:rPr>
        <w:noProof/>
      </w:rPr>
      <w:t>2</w:t>
    </w:r>
    <w:r w:rsidR="00170D6E">
      <w:fldChar w:fldCharType="end"/>
    </w:r>
    <w:r>
      <w:t xml:space="preserve"> -</w:t>
    </w:r>
  </w:p>
  <w:p w:rsidR="00A4139C" w:rsidRDefault="00170D6E">
    <w:pPr>
      <w:pStyle w:val="Kopfzeile"/>
      <w:jc w:val="right"/>
    </w:pPr>
    <w:r>
      <w:rPr>
        <w:noProof/>
        <w:lang w:val="de-DE"/>
      </w:rPr>
      <w:drawing>
        <wp:inline distT="0" distB="0" distL="0" distR="0" wp14:anchorId="6A25A054" wp14:editId="4084ABEE">
          <wp:extent cx="1190625" cy="513715"/>
          <wp:effectExtent l="0" t="0" r="9525" b="635"/>
          <wp:docPr id="4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A89E290-4601-406E-82E8-0C52493B4CD6}"/>
    <w:docVar w:name="dgnword-eventsink" w:val="206819848"/>
  </w:docVars>
  <w:rsids>
    <w:rsidRoot w:val="006C4261"/>
    <w:rsid w:val="00010238"/>
    <w:rsid w:val="0006335D"/>
    <w:rsid w:val="000710FD"/>
    <w:rsid w:val="000817F0"/>
    <w:rsid w:val="000B284C"/>
    <w:rsid w:val="000D78EC"/>
    <w:rsid w:val="001208C6"/>
    <w:rsid w:val="00132A04"/>
    <w:rsid w:val="00167B90"/>
    <w:rsid w:val="00170D6E"/>
    <w:rsid w:val="00180BC0"/>
    <w:rsid w:val="002A503B"/>
    <w:rsid w:val="002F26AD"/>
    <w:rsid w:val="00332F29"/>
    <w:rsid w:val="00370A96"/>
    <w:rsid w:val="00372D5D"/>
    <w:rsid w:val="004144CF"/>
    <w:rsid w:val="00417C3B"/>
    <w:rsid w:val="004A6F3C"/>
    <w:rsid w:val="004F35FA"/>
    <w:rsid w:val="00514B86"/>
    <w:rsid w:val="0055528F"/>
    <w:rsid w:val="00563D15"/>
    <w:rsid w:val="0062665E"/>
    <w:rsid w:val="006C4261"/>
    <w:rsid w:val="00711499"/>
    <w:rsid w:val="007748EA"/>
    <w:rsid w:val="00794D22"/>
    <w:rsid w:val="007F32A2"/>
    <w:rsid w:val="0086737F"/>
    <w:rsid w:val="008816A9"/>
    <w:rsid w:val="008A4357"/>
    <w:rsid w:val="008C0894"/>
    <w:rsid w:val="009843EB"/>
    <w:rsid w:val="009B036D"/>
    <w:rsid w:val="009D0534"/>
    <w:rsid w:val="009E0E45"/>
    <w:rsid w:val="00A03387"/>
    <w:rsid w:val="00A24BE1"/>
    <w:rsid w:val="00A4139C"/>
    <w:rsid w:val="00A41D1B"/>
    <w:rsid w:val="00A80EAF"/>
    <w:rsid w:val="00A97AEC"/>
    <w:rsid w:val="00AD44E0"/>
    <w:rsid w:val="00B13C1A"/>
    <w:rsid w:val="00B60D24"/>
    <w:rsid w:val="00B85417"/>
    <w:rsid w:val="00BC4557"/>
    <w:rsid w:val="00C23283"/>
    <w:rsid w:val="00DC1412"/>
    <w:rsid w:val="00E35697"/>
    <w:rsid w:val="00E442EC"/>
    <w:rsid w:val="00E45DE0"/>
    <w:rsid w:val="00EC1A56"/>
    <w:rsid w:val="00F01FA9"/>
    <w:rsid w:val="00F50851"/>
    <w:rsid w:val="00F71077"/>
    <w:rsid w:val="00F733DF"/>
    <w:rsid w:val="00FC7F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984AA2C1-3F83-490A-A32E-8EDD15F73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711499"/>
    <w:pPr>
      <w:autoSpaceDE w:val="0"/>
      <w:autoSpaceDN w:val="0"/>
      <w:adjustRightInd w:val="0"/>
    </w:pPr>
    <w:rPr>
      <w:rFonts w:ascii="Corporate S" w:hAnsi="Corporate S" w:cs="Corporate S"/>
      <w:color w:val="000000"/>
      <w:sz w:val="24"/>
      <w:szCs w:val="24"/>
    </w:rPr>
  </w:style>
  <w:style w:type="character" w:styleId="Kommentarzeichen">
    <w:name w:val="annotation reference"/>
    <w:basedOn w:val="Absatz-Standardschriftart"/>
    <w:semiHidden/>
    <w:unhideWhenUsed/>
    <w:rsid w:val="00417C3B"/>
    <w:rPr>
      <w:sz w:val="16"/>
      <w:szCs w:val="16"/>
    </w:rPr>
  </w:style>
  <w:style w:type="paragraph" w:styleId="Kommentartext">
    <w:name w:val="annotation text"/>
    <w:basedOn w:val="Standard"/>
    <w:link w:val="KommentartextZchn"/>
    <w:semiHidden/>
    <w:unhideWhenUsed/>
    <w:rsid w:val="00417C3B"/>
    <w:rPr>
      <w:sz w:val="20"/>
      <w:szCs w:val="20"/>
    </w:rPr>
  </w:style>
  <w:style w:type="character" w:customStyle="1" w:styleId="KommentartextZchn">
    <w:name w:val="Kommentartext Zchn"/>
    <w:basedOn w:val="Absatz-Standardschriftart"/>
    <w:link w:val="Kommentartext"/>
    <w:semiHidden/>
    <w:rsid w:val="00417C3B"/>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417C3B"/>
    <w:rPr>
      <w:b/>
      <w:bCs/>
    </w:rPr>
  </w:style>
  <w:style w:type="character" w:customStyle="1" w:styleId="KommentarthemaZchn">
    <w:name w:val="Kommentarthema Zchn"/>
    <w:basedOn w:val="KommentartextZchn"/>
    <w:link w:val="Kommentarthema"/>
    <w:semiHidden/>
    <w:rsid w:val="00417C3B"/>
    <w:rPr>
      <w:rFonts w:ascii="Arial" w:hAnsi="Arial" w:cs="Arial"/>
      <w:b/>
      <w:bCs/>
      <w:lang w:val="en-GB" w:eastAsia="de-DE"/>
    </w:rPr>
  </w:style>
  <w:style w:type="paragraph" w:styleId="Sprechblasentext">
    <w:name w:val="Balloon Text"/>
    <w:basedOn w:val="Standard"/>
    <w:link w:val="SprechblasentextZchn"/>
    <w:semiHidden/>
    <w:unhideWhenUsed/>
    <w:rsid w:val="00417C3B"/>
    <w:rPr>
      <w:rFonts w:ascii="Segoe UI" w:hAnsi="Segoe UI" w:cs="Segoe UI"/>
      <w:sz w:val="18"/>
      <w:szCs w:val="18"/>
    </w:rPr>
  </w:style>
  <w:style w:type="character" w:customStyle="1" w:styleId="SprechblasentextZchn">
    <w:name w:val="Sprechblasentext Zchn"/>
    <w:basedOn w:val="Absatz-Standardschriftart"/>
    <w:link w:val="Sprechblasentext"/>
    <w:semiHidden/>
    <w:rsid w:val="00417C3B"/>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F44DA-CAE0-4F1B-BE2E-8E164646E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1838</Characters>
  <Application>Microsoft Office Word</Application>
  <DocSecurity>4</DocSecurity>
  <Lines>15</Lines>
  <Paragraphs>4</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2</cp:revision>
  <cp:lastPrinted>2006-04-21T08:51:00Z</cp:lastPrinted>
  <dcterms:created xsi:type="dcterms:W3CDTF">2022-05-16T06:57:00Z</dcterms:created>
  <dcterms:modified xsi:type="dcterms:W3CDTF">2022-05-16T06:57:00Z</dcterms:modified>
</cp:coreProperties>
</file>