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208" w:rsidRPr="00A06119" w:rsidRDefault="009F4208" w:rsidP="00A06119">
      <w:pPr>
        <w:ind w:right="23"/>
        <w:jc w:val="both"/>
        <w:rPr>
          <w:rFonts w:ascii="Arial" w:hAnsi="Arial" w:cs="Arial"/>
          <w:b/>
          <w:bCs/>
          <w:sz w:val="22"/>
          <w:szCs w:val="22"/>
        </w:rPr>
      </w:pPr>
      <w:r>
        <w:rPr>
          <w:rFonts w:ascii="Arial" w:hAnsi="Arial"/>
          <w:b/>
          <w:sz w:val="22"/>
        </w:rPr>
        <w:t xml:space="preserve">High-efficiency circulator for larger buildings </w:t>
      </w:r>
    </w:p>
    <w:p w:rsidR="009F4208" w:rsidRPr="00A06119" w:rsidRDefault="009F4208" w:rsidP="00A949A8">
      <w:pPr>
        <w:ind w:right="23"/>
        <w:jc w:val="both"/>
        <w:rPr>
          <w:rFonts w:ascii="Arial" w:hAnsi="Arial" w:cs="Arial"/>
          <w:sz w:val="22"/>
          <w:szCs w:val="22"/>
        </w:rPr>
      </w:pPr>
    </w:p>
    <w:p w:rsidR="006741BD" w:rsidRPr="00A06119" w:rsidRDefault="00B83A00" w:rsidP="00996C86">
      <w:pPr>
        <w:jc w:val="both"/>
        <w:rPr>
          <w:rFonts w:ascii="Arial" w:hAnsi="Arial" w:cs="Arial"/>
          <w:sz w:val="22"/>
          <w:szCs w:val="22"/>
        </w:rPr>
      </w:pPr>
      <w:r>
        <w:rPr>
          <w:rFonts w:ascii="Arial" w:hAnsi="Arial"/>
          <w:sz w:val="22"/>
        </w:rPr>
        <w:t xml:space="preserve">As an extension to its range of high-efficiency glandless pumps with continuously variable speed control, the KSB Group is launching the Calio Pro type series in </w:t>
      </w:r>
      <w:r w:rsidR="00FD2414">
        <w:rPr>
          <w:rFonts w:ascii="Arial" w:hAnsi="Arial"/>
          <w:sz w:val="22"/>
        </w:rPr>
        <w:t>July</w:t>
      </w:r>
      <w:r>
        <w:rPr>
          <w:rFonts w:ascii="Arial" w:hAnsi="Arial"/>
          <w:sz w:val="22"/>
        </w:rPr>
        <w:t xml:space="preserve"> 2022. Available in screw-ended or flanged designs, the new pumps have been developed for recirculation systems in larger buildings, such as heating, ventilation and air-conditioning systems.</w:t>
      </w:r>
    </w:p>
    <w:p w:rsidR="00E46C12" w:rsidRPr="00A06119" w:rsidRDefault="00E46C12" w:rsidP="00A949A8">
      <w:pPr>
        <w:jc w:val="both"/>
        <w:rPr>
          <w:rFonts w:ascii="Arial" w:hAnsi="Arial" w:cs="Arial"/>
          <w:sz w:val="22"/>
          <w:szCs w:val="22"/>
        </w:rPr>
      </w:pPr>
    </w:p>
    <w:p w:rsidR="00D608E6" w:rsidRPr="00A06119" w:rsidRDefault="009A287D" w:rsidP="00A949A8">
      <w:pPr>
        <w:jc w:val="both"/>
        <w:rPr>
          <w:rFonts w:ascii="Arial" w:hAnsi="Arial" w:cs="Arial"/>
          <w:sz w:val="22"/>
          <w:szCs w:val="22"/>
        </w:rPr>
      </w:pPr>
      <w:r>
        <w:rPr>
          <w:rFonts w:ascii="Arial" w:hAnsi="Arial"/>
          <w:sz w:val="22"/>
        </w:rPr>
        <w:t>With their high efficiencies, the new pump sets already meet the requirements of future energy efficiency regulations. Thanks to the integrated intelligent DynamicControl program, additional energy savings of around 40 percent can be achieved compared with conventional proportional-pressure control. As the function is purely based on software, no additional costs will be incurred by further sensors or actuators. The pumps automatically gather all required information from their internal signals. The program rules out undersupply in the event of changing system conditions.</w:t>
      </w:r>
    </w:p>
    <w:p w:rsidR="00D608E6" w:rsidRPr="00A06119" w:rsidRDefault="00D608E6" w:rsidP="00A949A8">
      <w:pPr>
        <w:jc w:val="both"/>
        <w:rPr>
          <w:rFonts w:ascii="Arial" w:hAnsi="Arial" w:cs="Arial"/>
          <w:sz w:val="22"/>
          <w:szCs w:val="22"/>
        </w:rPr>
      </w:pPr>
    </w:p>
    <w:p w:rsidR="00BD04FC" w:rsidRPr="00A06119" w:rsidRDefault="00F23DF8" w:rsidP="00A949A8">
      <w:pPr>
        <w:ind w:right="23"/>
        <w:jc w:val="both"/>
        <w:rPr>
          <w:rFonts w:ascii="Arial" w:hAnsi="Arial" w:cs="Arial"/>
          <w:sz w:val="22"/>
          <w:szCs w:val="22"/>
        </w:rPr>
      </w:pPr>
      <w:r>
        <w:rPr>
          <w:rFonts w:ascii="Arial" w:hAnsi="Arial"/>
          <w:sz w:val="22"/>
        </w:rPr>
        <w:t>The new type series is available in 25 sizes and can handle flow rates of up to 2</w:t>
      </w:r>
      <w:r w:rsidR="00FD2414">
        <w:rPr>
          <w:rFonts w:ascii="Arial" w:hAnsi="Arial"/>
          <w:sz w:val="22"/>
        </w:rPr>
        <w:t>4</w:t>
      </w:r>
      <w:r>
        <w:rPr>
          <w:rFonts w:ascii="Arial" w:hAnsi="Arial"/>
          <w:sz w:val="22"/>
        </w:rPr>
        <w:t xml:space="preserve"> m</w:t>
      </w:r>
      <w:r w:rsidR="001D0505" w:rsidRPr="00A06119">
        <w:rPr>
          <w:rFonts w:ascii="Arial" w:hAnsi="Arial"/>
          <w:sz w:val="22"/>
          <w:szCs w:val="22"/>
          <w:vertAlign w:val="superscript"/>
        </w:rPr>
        <w:t>3</w:t>
      </w:r>
      <w:r>
        <w:rPr>
          <w:rFonts w:ascii="Arial" w:hAnsi="Arial"/>
          <w:sz w:val="22"/>
        </w:rPr>
        <w:t xml:space="preserve">/h at a maximum head of 12 </w:t>
      </w:r>
      <w:r w:rsidRPr="0033667D">
        <w:rPr>
          <w:rFonts w:ascii="Arial" w:hAnsi="Arial"/>
          <w:sz w:val="22"/>
        </w:rPr>
        <w:t>mWC</w:t>
      </w:r>
      <w:r>
        <w:rPr>
          <w:rFonts w:ascii="Arial" w:hAnsi="Arial"/>
          <w:sz w:val="22"/>
        </w:rPr>
        <w:t>. The Calio Pro series includes a volt-free general fault message as standard for simple forwarding to a building services control station.</w:t>
      </w:r>
    </w:p>
    <w:p w:rsidR="00BD04FC" w:rsidRPr="00A06119" w:rsidRDefault="00BD04FC" w:rsidP="00A949A8">
      <w:pPr>
        <w:autoSpaceDE w:val="0"/>
        <w:autoSpaceDN w:val="0"/>
        <w:jc w:val="both"/>
        <w:rPr>
          <w:rFonts w:ascii="Arial" w:hAnsi="Arial" w:cs="Arial"/>
          <w:sz w:val="22"/>
          <w:szCs w:val="22"/>
        </w:rPr>
      </w:pPr>
    </w:p>
    <w:p w:rsidR="00BA7D9F" w:rsidRPr="00A06119" w:rsidRDefault="009A0A9C" w:rsidP="00A949A8">
      <w:pPr>
        <w:autoSpaceDE w:val="0"/>
        <w:autoSpaceDN w:val="0"/>
        <w:jc w:val="both"/>
        <w:rPr>
          <w:rFonts w:ascii="Arial" w:hAnsi="Arial" w:cs="Arial"/>
          <w:sz w:val="22"/>
          <w:szCs w:val="22"/>
        </w:rPr>
      </w:pPr>
      <w:r>
        <w:rPr>
          <w:rFonts w:ascii="Arial" w:hAnsi="Arial"/>
          <w:sz w:val="22"/>
        </w:rPr>
        <w:t xml:space="preserve">Without additional software or hardware modules, two pumps – one used as duty pump, the other as stand-by – can be operated in parallel with automatic changeover in the event of a fault as well as timer-controlled pump changeover. Often this allows investment and commissioning costs to be kept to a minimum. </w:t>
      </w:r>
    </w:p>
    <w:p w:rsidR="00BA7D9F" w:rsidRPr="00A06119" w:rsidRDefault="00BA7D9F" w:rsidP="00A949A8">
      <w:pPr>
        <w:autoSpaceDE w:val="0"/>
        <w:autoSpaceDN w:val="0"/>
        <w:jc w:val="both"/>
        <w:rPr>
          <w:rFonts w:ascii="Arial" w:hAnsi="Arial" w:cs="Arial"/>
          <w:sz w:val="22"/>
          <w:szCs w:val="22"/>
        </w:rPr>
      </w:pPr>
    </w:p>
    <w:p w:rsidR="00840BF7" w:rsidRPr="00A06119" w:rsidRDefault="00BA7D9F" w:rsidP="00A949A8">
      <w:pPr>
        <w:autoSpaceDE w:val="0"/>
        <w:autoSpaceDN w:val="0"/>
        <w:jc w:val="both"/>
        <w:rPr>
          <w:rFonts w:ascii="Arial" w:hAnsi="Arial" w:cs="Arial"/>
          <w:sz w:val="22"/>
          <w:szCs w:val="22"/>
        </w:rPr>
      </w:pPr>
      <w:r>
        <w:rPr>
          <w:rFonts w:ascii="Arial" w:hAnsi="Arial"/>
          <w:sz w:val="22"/>
        </w:rPr>
        <w:t>Installation and commissioning are very simple, as all operating modes, functions and setpoints can be adjusted using keys on the control panel display. The user is shown the set head or, in open-loop control mode, the speed level. Unauthorised manipulation of the operating parameters can be prevented by locking the keypad.</w:t>
      </w:r>
    </w:p>
    <w:p w:rsidR="00BA7D9F" w:rsidRPr="00A06119" w:rsidRDefault="00BA7D9F" w:rsidP="00A949A8">
      <w:pPr>
        <w:autoSpaceDE w:val="0"/>
        <w:autoSpaceDN w:val="0"/>
        <w:jc w:val="both"/>
        <w:rPr>
          <w:rFonts w:ascii="Arial" w:hAnsi="Arial" w:cs="Arial"/>
          <w:sz w:val="22"/>
          <w:szCs w:val="22"/>
        </w:rPr>
      </w:pPr>
    </w:p>
    <w:p w:rsidR="00591182" w:rsidRPr="00A06119" w:rsidRDefault="009F4208" w:rsidP="00A949A8">
      <w:pPr>
        <w:autoSpaceDE w:val="0"/>
        <w:autoSpaceDN w:val="0"/>
        <w:jc w:val="both"/>
        <w:rPr>
          <w:rFonts w:ascii="Arial" w:hAnsi="Arial" w:cs="Arial"/>
          <w:sz w:val="22"/>
          <w:szCs w:val="22"/>
        </w:rPr>
      </w:pPr>
      <w:r>
        <w:rPr>
          <w:rFonts w:ascii="Arial" w:hAnsi="Arial"/>
          <w:sz w:val="22"/>
        </w:rPr>
        <w:t>The fluid temperature range from -10 °C to +110 °C makes the new pump sets suitable for a wide variety of applications, from heating water to coolant transport and industrial recirculation systems. The pumps are also available in a twin pump configuration as Calio Pro Z.</w:t>
      </w:r>
      <w:bookmarkStart w:id="0" w:name="_GoBack"/>
      <w:bookmarkEnd w:id="0"/>
    </w:p>
    <w:p w:rsidR="00591182" w:rsidRDefault="00591182" w:rsidP="00A949A8">
      <w:pPr>
        <w:ind w:right="23"/>
        <w:jc w:val="both"/>
        <w:rPr>
          <w:rFonts w:ascii="Arial" w:hAnsi="Arial" w:cs="Arial"/>
          <w:sz w:val="22"/>
          <w:szCs w:val="22"/>
        </w:rPr>
      </w:pPr>
    </w:p>
    <w:p w:rsidR="00590E59" w:rsidRPr="00A06119" w:rsidRDefault="000907F6" w:rsidP="00A949A8">
      <w:pPr>
        <w:jc w:val="both"/>
        <w:rPr>
          <w:sz w:val="22"/>
          <w:szCs w:val="22"/>
        </w:rPr>
      </w:pPr>
      <w:r>
        <w:rPr>
          <w:rFonts w:ascii="Arial" w:hAnsi="Arial"/>
          <w:sz w:val="22"/>
        </w:rPr>
        <w:t xml:space="preserve">Photo: The KSB Group will launch the high-efficiency Calio Pro series in </w:t>
      </w:r>
      <w:r w:rsidR="00FD2414">
        <w:rPr>
          <w:rFonts w:ascii="Arial" w:hAnsi="Arial"/>
          <w:sz w:val="22"/>
        </w:rPr>
        <w:t>July</w:t>
      </w:r>
      <w:r>
        <w:rPr>
          <w:rFonts w:ascii="Arial" w:hAnsi="Arial"/>
          <w:sz w:val="22"/>
        </w:rPr>
        <w:t xml:space="preserve"> 2022.</w:t>
      </w:r>
    </w:p>
    <w:sectPr w:rsidR="00590E59" w:rsidRPr="00A06119" w:rsidSect="00937696">
      <w:pgSz w:w="12240" w:h="15840"/>
      <w:pgMar w:top="1843" w:right="2742" w:bottom="1134" w:left="1985" w:header="426"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602" w:rsidRDefault="00673602" w:rsidP="00A949A8">
      <w:r>
        <w:separator/>
      </w:r>
    </w:p>
  </w:endnote>
  <w:endnote w:type="continuationSeparator" w:id="0">
    <w:p w:rsidR="00673602" w:rsidRDefault="00673602" w:rsidP="00A94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602" w:rsidRDefault="00673602" w:rsidP="00A949A8">
      <w:r>
        <w:separator/>
      </w:r>
    </w:p>
  </w:footnote>
  <w:footnote w:type="continuationSeparator" w:id="0">
    <w:p w:rsidR="00673602" w:rsidRDefault="00673602" w:rsidP="00A949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910CA4"/>
    <w:multiLevelType w:val="hybridMultilevel"/>
    <w:tmpl w:val="2FA66D92"/>
    <w:lvl w:ilvl="0" w:tplc="001A1BEE">
      <w:start w:val="1"/>
      <w:numFmt w:val="bullet"/>
      <w:lvlText w:val=""/>
      <w:lvlJc w:val="left"/>
      <w:pPr>
        <w:tabs>
          <w:tab w:val="num" w:pos="720"/>
        </w:tabs>
        <w:ind w:left="720" w:hanging="360"/>
      </w:pPr>
      <w:rPr>
        <w:rFonts w:ascii="Wingdings" w:hAnsi="Wingdings" w:hint="default"/>
      </w:rPr>
    </w:lvl>
    <w:lvl w:ilvl="1" w:tplc="BC627E76" w:tentative="1">
      <w:start w:val="1"/>
      <w:numFmt w:val="bullet"/>
      <w:lvlText w:val=""/>
      <w:lvlJc w:val="left"/>
      <w:pPr>
        <w:tabs>
          <w:tab w:val="num" w:pos="1440"/>
        </w:tabs>
        <w:ind w:left="1440" w:hanging="360"/>
      </w:pPr>
      <w:rPr>
        <w:rFonts w:ascii="Wingdings" w:hAnsi="Wingdings" w:hint="default"/>
      </w:rPr>
    </w:lvl>
    <w:lvl w:ilvl="2" w:tplc="1AAEC7EE" w:tentative="1">
      <w:start w:val="1"/>
      <w:numFmt w:val="bullet"/>
      <w:lvlText w:val=""/>
      <w:lvlJc w:val="left"/>
      <w:pPr>
        <w:tabs>
          <w:tab w:val="num" w:pos="2160"/>
        </w:tabs>
        <w:ind w:left="2160" w:hanging="360"/>
      </w:pPr>
      <w:rPr>
        <w:rFonts w:ascii="Wingdings" w:hAnsi="Wingdings" w:hint="default"/>
      </w:rPr>
    </w:lvl>
    <w:lvl w:ilvl="3" w:tplc="90F8214A" w:tentative="1">
      <w:start w:val="1"/>
      <w:numFmt w:val="bullet"/>
      <w:lvlText w:val=""/>
      <w:lvlJc w:val="left"/>
      <w:pPr>
        <w:tabs>
          <w:tab w:val="num" w:pos="2880"/>
        </w:tabs>
        <w:ind w:left="2880" w:hanging="360"/>
      </w:pPr>
      <w:rPr>
        <w:rFonts w:ascii="Wingdings" w:hAnsi="Wingdings" w:hint="default"/>
      </w:rPr>
    </w:lvl>
    <w:lvl w:ilvl="4" w:tplc="68A28192" w:tentative="1">
      <w:start w:val="1"/>
      <w:numFmt w:val="bullet"/>
      <w:lvlText w:val=""/>
      <w:lvlJc w:val="left"/>
      <w:pPr>
        <w:tabs>
          <w:tab w:val="num" w:pos="3600"/>
        </w:tabs>
        <w:ind w:left="3600" w:hanging="360"/>
      </w:pPr>
      <w:rPr>
        <w:rFonts w:ascii="Wingdings" w:hAnsi="Wingdings" w:hint="default"/>
      </w:rPr>
    </w:lvl>
    <w:lvl w:ilvl="5" w:tplc="2782092E" w:tentative="1">
      <w:start w:val="1"/>
      <w:numFmt w:val="bullet"/>
      <w:lvlText w:val=""/>
      <w:lvlJc w:val="left"/>
      <w:pPr>
        <w:tabs>
          <w:tab w:val="num" w:pos="4320"/>
        </w:tabs>
        <w:ind w:left="4320" w:hanging="360"/>
      </w:pPr>
      <w:rPr>
        <w:rFonts w:ascii="Wingdings" w:hAnsi="Wingdings" w:hint="default"/>
      </w:rPr>
    </w:lvl>
    <w:lvl w:ilvl="6" w:tplc="81284EE6" w:tentative="1">
      <w:start w:val="1"/>
      <w:numFmt w:val="bullet"/>
      <w:lvlText w:val=""/>
      <w:lvlJc w:val="left"/>
      <w:pPr>
        <w:tabs>
          <w:tab w:val="num" w:pos="5040"/>
        </w:tabs>
        <w:ind w:left="5040" w:hanging="360"/>
      </w:pPr>
      <w:rPr>
        <w:rFonts w:ascii="Wingdings" w:hAnsi="Wingdings" w:hint="default"/>
      </w:rPr>
    </w:lvl>
    <w:lvl w:ilvl="7" w:tplc="385461CE" w:tentative="1">
      <w:start w:val="1"/>
      <w:numFmt w:val="bullet"/>
      <w:lvlText w:val=""/>
      <w:lvlJc w:val="left"/>
      <w:pPr>
        <w:tabs>
          <w:tab w:val="num" w:pos="5760"/>
        </w:tabs>
        <w:ind w:left="5760" w:hanging="360"/>
      </w:pPr>
      <w:rPr>
        <w:rFonts w:ascii="Wingdings" w:hAnsi="Wingdings" w:hint="default"/>
      </w:rPr>
    </w:lvl>
    <w:lvl w:ilvl="8" w:tplc="B7A6142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B513514"/>
    <w:multiLevelType w:val="hybridMultilevel"/>
    <w:tmpl w:val="E3C48754"/>
    <w:lvl w:ilvl="0" w:tplc="12B885A0">
      <w:start w:val="1"/>
      <w:numFmt w:val="bullet"/>
      <w:lvlText w:val=""/>
      <w:lvlJc w:val="left"/>
      <w:pPr>
        <w:tabs>
          <w:tab w:val="num" w:pos="720"/>
        </w:tabs>
        <w:ind w:left="720" w:hanging="360"/>
      </w:pPr>
      <w:rPr>
        <w:rFonts w:ascii="Wingdings" w:hAnsi="Wingdings" w:hint="default"/>
      </w:rPr>
    </w:lvl>
    <w:lvl w:ilvl="1" w:tplc="BFFEE64C" w:tentative="1">
      <w:start w:val="1"/>
      <w:numFmt w:val="bullet"/>
      <w:lvlText w:val=""/>
      <w:lvlJc w:val="left"/>
      <w:pPr>
        <w:tabs>
          <w:tab w:val="num" w:pos="1440"/>
        </w:tabs>
        <w:ind w:left="1440" w:hanging="360"/>
      </w:pPr>
      <w:rPr>
        <w:rFonts w:ascii="Wingdings" w:hAnsi="Wingdings" w:hint="default"/>
      </w:rPr>
    </w:lvl>
    <w:lvl w:ilvl="2" w:tplc="B5528CE4" w:tentative="1">
      <w:start w:val="1"/>
      <w:numFmt w:val="bullet"/>
      <w:lvlText w:val=""/>
      <w:lvlJc w:val="left"/>
      <w:pPr>
        <w:tabs>
          <w:tab w:val="num" w:pos="2160"/>
        </w:tabs>
        <w:ind w:left="2160" w:hanging="360"/>
      </w:pPr>
      <w:rPr>
        <w:rFonts w:ascii="Wingdings" w:hAnsi="Wingdings" w:hint="default"/>
      </w:rPr>
    </w:lvl>
    <w:lvl w:ilvl="3" w:tplc="B0F2B84E" w:tentative="1">
      <w:start w:val="1"/>
      <w:numFmt w:val="bullet"/>
      <w:lvlText w:val=""/>
      <w:lvlJc w:val="left"/>
      <w:pPr>
        <w:tabs>
          <w:tab w:val="num" w:pos="2880"/>
        </w:tabs>
        <w:ind w:left="2880" w:hanging="360"/>
      </w:pPr>
      <w:rPr>
        <w:rFonts w:ascii="Wingdings" w:hAnsi="Wingdings" w:hint="default"/>
      </w:rPr>
    </w:lvl>
    <w:lvl w:ilvl="4" w:tplc="0708F65C" w:tentative="1">
      <w:start w:val="1"/>
      <w:numFmt w:val="bullet"/>
      <w:lvlText w:val=""/>
      <w:lvlJc w:val="left"/>
      <w:pPr>
        <w:tabs>
          <w:tab w:val="num" w:pos="3600"/>
        </w:tabs>
        <w:ind w:left="3600" w:hanging="360"/>
      </w:pPr>
      <w:rPr>
        <w:rFonts w:ascii="Wingdings" w:hAnsi="Wingdings" w:hint="default"/>
      </w:rPr>
    </w:lvl>
    <w:lvl w:ilvl="5" w:tplc="CF8CD8CE" w:tentative="1">
      <w:start w:val="1"/>
      <w:numFmt w:val="bullet"/>
      <w:lvlText w:val=""/>
      <w:lvlJc w:val="left"/>
      <w:pPr>
        <w:tabs>
          <w:tab w:val="num" w:pos="4320"/>
        </w:tabs>
        <w:ind w:left="4320" w:hanging="360"/>
      </w:pPr>
      <w:rPr>
        <w:rFonts w:ascii="Wingdings" w:hAnsi="Wingdings" w:hint="default"/>
      </w:rPr>
    </w:lvl>
    <w:lvl w:ilvl="6" w:tplc="0FFEC716" w:tentative="1">
      <w:start w:val="1"/>
      <w:numFmt w:val="bullet"/>
      <w:lvlText w:val=""/>
      <w:lvlJc w:val="left"/>
      <w:pPr>
        <w:tabs>
          <w:tab w:val="num" w:pos="5040"/>
        </w:tabs>
        <w:ind w:left="5040" w:hanging="360"/>
      </w:pPr>
      <w:rPr>
        <w:rFonts w:ascii="Wingdings" w:hAnsi="Wingdings" w:hint="default"/>
      </w:rPr>
    </w:lvl>
    <w:lvl w:ilvl="7" w:tplc="0EF42A30" w:tentative="1">
      <w:start w:val="1"/>
      <w:numFmt w:val="bullet"/>
      <w:lvlText w:val=""/>
      <w:lvlJc w:val="left"/>
      <w:pPr>
        <w:tabs>
          <w:tab w:val="num" w:pos="5760"/>
        </w:tabs>
        <w:ind w:left="5760" w:hanging="360"/>
      </w:pPr>
      <w:rPr>
        <w:rFonts w:ascii="Wingdings" w:hAnsi="Wingdings" w:hint="default"/>
      </w:rPr>
    </w:lvl>
    <w:lvl w:ilvl="8" w:tplc="C4C8AC48"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B9B2731B-A685-420C-9F7D-C1463440BB0A}"/>
    <w:docVar w:name="dgnword-eventsink" w:val="372939584"/>
  </w:docVars>
  <w:rsids>
    <w:rsidRoot w:val="009348B6"/>
    <w:rsid w:val="0001130C"/>
    <w:rsid w:val="000267E2"/>
    <w:rsid w:val="00050D73"/>
    <w:rsid w:val="000873D7"/>
    <w:rsid w:val="000907F6"/>
    <w:rsid w:val="000B05E8"/>
    <w:rsid w:val="000D0DAC"/>
    <w:rsid w:val="00104094"/>
    <w:rsid w:val="00193002"/>
    <w:rsid w:val="00193D47"/>
    <w:rsid w:val="001C3B97"/>
    <w:rsid w:val="001D0505"/>
    <w:rsid w:val="001F7A1C"/>
    <w:rsid w:val="0022570E"/>
    <w:rsid w:val="002315B6"/>
    <w:rsid w:val="0025545D"/>
    <w:rsid w:val="002570AA"/>
    <w:rsid w:val="002770B7"/>
    <w:rsid w:val="002A6C50"/>
    <w:rsid w:val="002B27B4"/>
    <w:rsid w:val="002B304F"/>
    <w:rsid w:val="002D141D"/>
    <w:rsid w:val="002E28BD"/>
    <w:rsid w:val="002E46CF"/>
    <w:rsid w:val="00326600"/>
    <w:rsid w:val="00333D8F"/>
    <w:rsid w:val="0033667D"/>
    <w:rsid w:val="00340156"/>
    <w:rsid w:val="0036314B"/>
    <w:rsid w:val="00363A93"/>
    <w:rsid w:val="00375BCE"/>
    <w:rsid w:val="00396904"/>
    <w:rsid w:val="003D5A2C"/>
    <w:rsid w:val="003E700F"/>
    <w:rsid w:val="003E703F"/>
    <w:rsid w:val="003F4AD5"/>
    <w:rsid w:val="004009E4"/>
    <w:rsid w:val="0040200A"/>
    <w:rsid w:val="00403D22"/>
    <w:rsid w:val="00407557"/>
    <w:rsid w:val="004204C6"/>
    <w:rsid w:val="004241BA"/>
    <w:rsid w:val="00424437"/>
    <w:rsid w:val="004559D4"/>
    <w:rsid w:val="004B08A2"/>
    <w:rsid w:val="004C5306"/>
    <w:rsid w:val="004E2898"/>
    <w:rsid w:val="004F2979"/>
    <w:rsid w:val="004F4E4D"/>
    <w:rsid w:val="00545C0D"/>
    <w:rsid w:val="00551B21"/>
    <w:rsid w:val="00563C58"/>
    <w:rsid w:val="00572138"/>
    <w:rsid w:val="00590E59"/>
    <w:rsid w:val="00591182"/>
    <w:rsid w:val="005A2B52"/>
    <w:rsid w:val="005A3B87"/>
    <w:rsid w:val="005B09AA"/>
    <w:rsid w:val="005B1986"/>
    <w:rsid w:val="005B49CE"/>
    <w:rsid w:val="005C5E38"/>
    <w:rsid w:val="005E331A"/>
    <w:rsid w:val="005F0BE7"/>
    <w:rsid w:val="005F363E"/>
    <w:rsid w:val="005F58F9"/>
    <w:rsid w:val="0064647E"/>
    <w:rsid w:val="00650C84"/>
    <w:rsid w:val="00673602"/>
    <w:rsid w:val="006741BD"/>
    <w:rsid w:val="00690406"/>
    <w:rsid w:val="006959AA"/>
    <w:rsid w:val="006D43D1"/>
    <w:rsid w:val="006D595F"/>
    <w:rsid w:val="006F2BB4"/>
    <w:rsid w:val="0070198D"/>
    <w:rsid w:val="00703273"/>
    <w:rsid w:val="00753B82"/>
    <w:rsid w:val="00772E9F"/>
    <w:rsid w:val="00793997"/>
    <w:rsid w:val="007A14DA"/>
    <w:rsid w:val="007B465F"/>
    <w:rsid w:val="007D63C2"/>
    <w:rsid w:val="007D717E"/>
    <w:rsid w:val="007D7A7D"/>
    <w:rsid w:val="0082644A"/>
    <w:rsid w:val="008264A3"/>
    <w:rsid w:val="00840BF7"/>
    <w:rsid w:val="00842854"/>
    <w:rsid w:val="00852CC2"/>
    <w:rsid w:val="00861330"/>
    <w:rsid w:val="0086390B"/>
    <w:rsid w:val="008661F0"/>
    <w:rsid w:val="00870E22"/>
    <w:rsid w:val="00877076"/>
    <w:rsid w:val="00886A86"/>
    <w:rsid w:val="008A409E"/>
    <w:rsid w:val="008A6C74"/>
    <w:rsid w:val="00907734"/>
    <w:rsid w:val="00927A58"/>
    <w:rsid w:val="009303E6"/>
    <w:rsid w:val="009348B6"/>
    <w:rsid w:val="00937696"/>
    <w:rsid w:val="00956097"/>
    <w:rsid w:val="00962647"/>
    <w:rsid w:val="00963C1A"/>
    <w:rsid w:val="00996C86"/>
    <w:rsid w:val="009A0A9C"/>
    <w:rsid w:val="009A1868"/>
    <w:rsid w:val="009A287D"/>
    <w:rsid w:val="009A324C"/>
    <w:rsid w:val="009D0DF9"/>
    <w:rsid w:val="009D65B8"/>
    <w:rsid w:val="009E7AFD"/>
    <w:rsid w:val="009F4208"/>
    <w:rsid w:val="00A02C42"/>
    <w:rsid w:val="00A06119"/>
    <w:rsid w:val="00A16C47"/>
    <w:rsid w:val="00A33CB6"/>
    <w:rsid w:val="00A352C9"/>
    <w:rsid w:val="00A47CC0"/>
    <w:rsid w:val="00A81979"/>
    <w:rsid w:val="00A949A8"/>
    <w:rsid w:val="00AA7C77"/>
    <w:rsid w:val="00AB1A38"/>
    <w:rsid w:val="00AB3203"/>
    <w:rsid w:val="00AC1338"/>
    <w:rsid w:val="00AC6B7E"/>
    <w:rsid w:val="00AE45D8"/>
    <w:rsid w:val="00AE77E6"/>
    <w:rsid w:val="00AF1658"/>
    <w:rsid w:val="00B1296F"/>
    <w:rsid w:val="00B3177D"/>
    <w:rsid w:val="00B44C24"/>
    <w:rsid w:val="00B555FF"/>
    <w:rsid w:val="00B72C98"/>
    <w:rsid w:val="00B83A00"/>
    <w:rsid w:val="00B857E0"/>
    <w:rsid w:val="00BA4BC7"/>
    <w:rsid w:val="00BA7D9F"/>
    <w:rsid w:val="00BC773A"/>
    <w:rsid w:val="00BD04FC"/>
    <w:rsid w:val="00C221D7"/>
    <w:rsid w:val="00C275E4"/>
    <w:rsid w:val="00C37904"/>
    <w:rsid w:val="00C53730"/>
    <w:rsid w:val="00C76560"/>
    <w:rsid w:val="00C77D60"/>
    <w:rsid w:val="00C90DC4"/>
    <w:rsid w:val="00C91107"/>
    <w:rsid w:val="00CA7D81"/>
    <w:rsid w:val="00CC0DB5"/>
    <w:rsid w:val="00D22132"/>
    <w:rsid w:val="00D34CC7"/>
    <w:rsid w:val="00D608E6"/>
    <w:rsid w:val="00D65306"/>
    <w:rsid w:val="00D9287E"/>
    <w:rsid w:val="00D96F4E"/>
    <w:rsid w:val="00DA3DB3"/>
    <w:rsid w:val="00DB5BB1"/>
    <w:rsid w:val="00DC62C1"/>
    <w:rsid w:val="00DF03A0"/>
    <w:rsid w:val="00DF7273"/>
    <w:rsid w:val="00DF79E6"/>
    <w:rsid w:val="00E01652"/>
    <w:rsid w:val="00E208EE"/>
    <w:rsid w:val="00E46C12"/>
    <w:rsid w:val="00E66E5B"/>
    <w:rsid w:val="00E87969"/>
    <w:rsid w:val="00EA0709"/>
    <w:rsid w:val="00EB3A60"/>
    <w:rsid w:val="00EC355C"/>
    <w:rsid w:val="00ED6D2A"/>
    <w:rsid w:val="00F201B6"/>
    <w:rsid w:val="00F237D1"/>
    <w:rsid w:val="00F23DF8"/>
    <w:rsid w:val="00F9720F"/>
    <w:rsid w:val="00FA2BFF"/>
    <w:rsid w:val="00FB0B89"/>
    <w:rsid w:val="00FC554A"/>
    <w:rsid w:val="00FD2414"/>
    <w:rsid w:val="00FF381B"/>
    <w:rsid w:val="00FF46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4659C7E"/>
  <w15:docId w15:val="{F4E75D63-D710-4925-B98C-F776AE32D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58F9"/>
    <w:rPr>
      <w:sz w:val="24"/>
      <w:szCs w:val="24"/>
    </w:rPr>
  </w:style>
  <w:style w:type="paragraph" w:styleId="berschrift1">
    <w:name w:val="heading 1"/>
    <w:basedOn w:val="Standard"/>
    <w:next w:val="Standard"/>
    <w:link w:val="berschrift1Zchn"/>
    <w:qFormat/>
    <w:rsid w:val="009A1868"/>
    <w:pPr>
      <w:keepNext/>
      <w:spacing w:line="360" w:lineRule="auto"/>
      <w:jc w:val="both"/>
      <w:outlineLvl w:val="0"/>
    </w:pPr>
    <w:rPr>
      <w:rFonts w:ascii="Arial" w:hAnsi="Arial" w:cs="Arial"/>
      <w: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locked/>
    <w:rsid w:val="009A1868"/>
    <w:rPr>
      <w:rFonts w:ascii="Arial" w:hAnsi="Arial" w:cs="Arial"/>
      <w:i/>
      <w:iCs/>
      <w:sz w:val="24"/>
      <w:szCs w:val="24"/>
      <w:lang w:val="en-GB" w:eastAsia="de-DE" w:bidi="ar-SA"/>
    </w:rPr>
  </w:style>
  <w:style w:type="paragraph" w:styleId="Kopfzeile">
    <w:name w:val="header"/>
    <w:basedOn w:val="Standard"/>
    <w:link w:val="KopfzeileZchn"/>
    <w:rsid w:val="009A1868"/>
    <w:pPr>
      <w:tabs>
        <w:tab w:val="center" w:pos="4536"/>
        <w:tab w:val="right" w:pos="9072"/>
      </w:tabs>
      <w:spacing w:line="360" w:lineRule="auto"/>
      <w:jc w:val="both"/>
    </w:pPr>
    <w:rPr>
      <w:rFonts w:ascii="Verdana" w:hAnsi="Verdana" w:cs="Verdana"/>
      <w:sz w:val="20"/>
      <w:szCs w:val="20"/>
    </w:rPr>
  </w:style>
  <w:style w:type="character" w:customStyle="1" w:styleId="KopfzeileZchn">
    <w:name w:val="Kopfzeile Zchn"/>
    <w:basedOn w:val="Absatz-Standardschriftart"/>
    <w:link w:val="Kopfzeile"/>
    <w:semiHidden/>
    <w:locked/>
    <w:rsid w:val="009A1868"/>
    <w:rPr>
      <w:rFonts w:ascii="Verdana" w:hAnsi="Verdana" w:cs="Verdana"/>
      <w:lang w:val="en-GB" w:eastAsia="de-DE" w:bidi="ar-SA"/>
    </w:rPr>
  </w:style>
  <w:style w:type="paragraph" w:styleId="Textkrper">
    <w:name w:val="Body Text"/>
    <w:basedOn w:val="Standard"/>
    <w:link w:val="TextkrperZchn"/>
    <w:rsid w:val="009A1868"/>
    <w:pPr>
      <w:spacing w:line="360" w:lineRule="auto"/>
      <w:jc w:val="both"/>
    </w:pPr>
    <w:rPr>
      <w:rFonts w:ascii="Verdana" w:hAnsi="Verdana" w:cs="Verdana"/>
      <w:b/>
      <w:bCs/>
      <w:sz w:val="30"/>
      <w:szCs w:val="30"/>
    </w:rPr>
  </w:style>
  <w:style w:type="character" w:customStyle="1" w:styleId="TextkrperZchn">
    <w:name w:val="Textkörper Zchn"/>
    <w:basedOn w:val="Absatz-Standardschriftart"/>
    <w:link w:val="Textkrper"/>
    <w:semiHidden/>
    <w:locked/>
    <w:rsid w:val="009A1868"/>
    <w:rPr>
      <w:rFonts w:ascii="Verdana" w:hAnsi="Verdana" w:cs="Verdana"/>
      <w:b/>
      <w:bCs/>
      <w:sz w:val="30"/>
      <w:szCs w:val="30"/>
      <w:lang w:val="en-GB" w:eastAsia="de-DE" w:bidi="ar-SA"/>
    </w:rPr>
  </w:style>
  <w:style w:type="paragraph" w:styleId="Sprechblasentext">
    <w:name w:val="Balloon Text"/>
    <w:basedOn w:val="Standard"/>
    <w:semiHidden/>
    <w:rsid w:val="000D0DAC"/>
    <w:rPr>
      <w:rFonts w:ascii="Tahoma" w:hAnsi="Tahoma" w:cs="Tahoma"/>
      <w:sz w:val="16"/>
      <w:szCs w:val="16"/>
    </w:rPr>
  </w:style>
  <w:style w:type="character" w:styleId="Kommentarzeichen">
    <w:name w:val="annotation reference"/>
    <w:basedOn w:val="Absatz-Standardschriftart"/>
    <w:rsid w:val="0082644A"/>
    <w:rPr>
      <w:sz w:val="16"/>
      <w:szCs w:val="16"/>
    </w:rPr>
  </w:style>
  <w:style w:type="paragraph" w:styleId="Kommentartext">
    <w:name w:val="annotation text"/>
    <w:basedOn w:val="Standard"/>
    <w:link w:val="KommentartextZchn"/>
    <w:rsid w:val="0082644A"/>
    <w:rPr>
      <w:sz w:val="20"/>
      <w:szCs w:val="20"/>
    </w:rPr>
  </w:style>
  <w:style w:type="character" w:customStyle="1" w:styleId="KommentartextZchn">
    <w:name w:val="Kommentartext Zchn"/>
    <w:basedOn w:val="Absatz-Standardschriftart"/>
    <w:link w:val="Kommentartext"/>
    <w:rsid w:val="0082644A"/>
  </w:style>
  <w:style w:type="paragraph" w:styleId="Kommentarthema">
    <w:name w:val="annotation subject"/>
    <w:basedOn w:val="Kommentartext"/>
    <w:next w:val="Kommentartext"/>
    <w:link w:val="KommentarthemaZchn"/>
    <w:rsid w:val="0082644A"/>
    <w:rPr>
      <w:b/>
      <w:bCs/>
    </w:rPr>
  </w:style>
  <w:style w:type="character" w:customStyle="1" w:styleId="KommentarthemaZchn">
    <w:name w:val="Kommentarthema Zchn"/>
    <w:basedOn w:val="KommentartextZchn"/>
    <w:link w:val="Kommentarthema"/>
    <w:rsid w:val="0082644A"/>
    <w:rPr>
      <w:b/>
      <w:bCs/>
    </w:rPr>
  </w:style>
  <w:style w:type="paragraph" w:styleId="Listenabsatz">
    <w:name w:val="List Paragraph"/>
    <w:basedOn w:val="Standard"/>
    <w:uiPriority w:val="34"/>
    <w:qFormat/>
    <w:rsid w:val="00E46C12"/>
    <w:pPr>
      <w:ind w:left="720"/>
      <w:contextualSpacing/>
    </w:pPr>
  </w:style>
  <w:style w:type="paragraph" w:styleId="Fuzeile">
    <w:name w:val="footer"/>
    <w:basedOn w:val="Standard"/>
    <w:link w:val="FuzeileZchn"/>
    <w:unhideWhenUsed/>
    <w:rsid w:val="00A949A8"/>
    <w:pPr>
      <w:tabs>
        <w:tab w:val="center" w:pos="4536"/>
        <w:tab w:val="right" w:pos="9072"/>
      </w:tabs>
    </w:pPr>
  </w:style>
  <w:style w:type="character" w:customStyle="1" w:styleId="FuzeileZchn">
    <w:name w:val="Fußzeile Zchn"/>
    <w:basedOn w:val="Absatz-Standardschriftart"/>
    <w:link w:val="Fuzeile"/>
    <w:rsid w:val="00A949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6118437">
      <w:bodyDiv w:val="1"/>
      <w:marLeft w:val="0"/>
      <w:marRight w:val="0"/>
      <w:marTop w:val="0"/>
      <w:marBottom w:val="0"/>
      <w:divBdr>
        <w:top w:val="none" w:sz="0" w:space="0" w:color="auto"/>
        <w:left w:val="none" w:sz="0" w:space="0" w:color="auto"/>
        <w:bottom w:val="none" w:sz="0" w:space="0" w:color="auto"/>
        <w:right w:val="none" w:sz="0" w:space="0" w:color="auto"/>
      </w:divBdr>
      <w:divsChild>
        <w:div w:id="200359566">
          <w:marLeft w:val="446"/>
          <w:marRight w:val="0"/>
          <w:marTop w:val="274"/>
          <w:marBottom w:val="0"/>
          <w:divBdr>
            <w:top w:val="none" w:sz="0" w:space="0" w:color="auto"/>
            <w:left w:val="none" w:sz="0" w:space="0" w:color="auto"/>
            <w:bottom w:val="none" w:sz="0" w:space="0" w:color="auto"/>
            <w:right w:val="none" w:sz="0" w:space="0" w:color="auto"/>
          </w:divBdr>
        </w:div>
        <w:div w:id="1350718693">
          <w:marLeft w:val="446"/>
          <w:marRight w:val="0"/>
          <w:marTop w:val="274"/>
          <w:marBottom w:val="0"/>
          <w:divBdr>
            <w:top w:val="none" w:sz="0" w:space="0" w:color="auto"/>
            <w:left w:val="none" w:sz="0" w:space="0" w:color="auto"/>
            <w:bottom w:val="none" w:sz="0" w:space="0" w:color="auto"/>
            <w:right w:val="none" w:sz="0" w:space="0" w:color="auto"/>
          </w:divBdr>
        </w:div>
        <w:div w:id="315959638">
          <w:marLeft w:val="446"/>
          <w:marRight w:val="0"/>
          <w:marTop w:val="274"/>
          <w:marBottom w:val="0"/>
          <w:divBdr>
            <w:top w:val="none" w:sz="0" w:space="0" w:color="auto"/>
            <w:left w:val="none" w:sz="0" w:space="0" w:color="auto"/>
            <w:bottom w:val="none" w:sz="0" w:space="0" w:color="auto"/>
            <w:right w:val="none" w:sz="0" w:space="0" w:color="auto"/>
          </w:divBdr>
        </w:div>
        <w:div w:id="931159649">
          <w:marLeft w:val="446"/>
          <w:marRight w:val="0"/>
          <w:marTop w:val="274"/>
          <w:marBottom w:val="0"/>
          <w:divBdr>
            <w:top w:val="none" w:sz="0" w:space="0" w:color="auto"/>
            <w:left w:val="none" w:sz="0" w:space="0" w:color="auto"/>
            <w:bottom w:val="none" w:sz="0" w:space="0" w:color="auto"/>
            <w:right w:val="none" w:sz="0" w:space="0" w:color="auto"/>
          </w:divBdr>
        </w:div>
        <w:div w:id="388504026">
          <w:marLeft w:val="446"/>
          <w:marRight w:val="0"/>
          <w:marTop w:val="274"/>
          <w:marBottom w:val="0"/>
          <w:divBdr>
            <w:top w:val="none" w:sz="0" w:space="0" w:color="auto"/>
            <w:left w:val="none" w:sz="0" w:space="0" w:color="auto"/>
            <w:bottom w:val="none" w:sz="0" w:space="0" w:color="auto"/>
            <w:right w:val="none" w:sz="0" w:space="0" w:color="auto"/>
          </w:divBdr>
        </w:div>
      </w:divsChild>
    </w:div>
    <w:div w:id="1486779864">
      <w:bodyDiv w:val="1"/>
      <w:marLeft w:val="0"/>
      <w:marRight w:val="0"/>
      <w:marTop w:val="0"/>
      <w:marBottom w:val="0"/>
      <w:divBdr>
        <w:top w:val="none" w:sz="0" w:space="0" w:color="auto"/>
        <w:left w:val="none" w:sz="0" w:space="0" w:color="auto"/>
        <w:bottom w:val="none" w:sz="0" w:space="0" w:color="auto"/>
        <w:right w:val="none" w:sz="0" w:space="0" w:color="auto"/>
      </w:divBdr>
    </w:div>
    <w:div w:id="1604335707">
      <w:bodyDiv w:val="1"/>
      <w:marLeft w:val="0"/>
      <w:marRight w:val="0"/>
      <w:marTop w:val="0"/>
      <w:marBottom w:val="0"/>
      <w:divBdr>
        <w:top w:val="none" w:sz="0" w:space="0" w:color="auto"/>
        <w:left w:val="none" w:sz="0" w:space="0" w:color="auto"/>
        <w:bottom w:val="none" w:sz="0" w:space="0" w:color="auto"/>
        <w:right w:val="none" w:sz="0" w:space="0" w:color="auto"/>
      </w:divBdr>
      <w:divsChild>
        <w:div w:id="1024013995">
          <w:marLeft w:val="446"/>
          <w:marRight w:val="0"/>
          <w:marTop w:val="274"/>
          <w:marBottom w:val="0"/>
          <w:divBdr>
            <w:top w:val="none" w:sz="0" w:space="0" w:color="auto"/>
            <w:left w:val="none" w:sz="0" w:space="0" w:color="auto"/>
            <w:bottom w:val="none" w:sz="0" w:space="0" w:color="auto"/>
            <w:right w:val="none" w:sz="0" w:space="0" w:color="auto"/>
          </w:divBdr>
        </w:div>
      </w:divsChild>
    </w:div>
    <w:div w:id="1638874313">
      <w:bodyDiv w:val="1"/>
      <w:marLeft w:val="0"/>
      <w:marRight w:val="0"/>
      <w:marTop w:val="0"/>
      <w:marBottom w:val="0"/>
      <w:divBdr>
        <w:top w:val="none" w:sz="0" w:space="0" w:color="auto"/>
        <w:left w:val="none" w:sz="0" w:space="0" w:color="auto"/>
        <w:bottom w:val="none" w:sz="0" w:space="0" w:color="auto"/>
        <w:right w:val="none" w:sz="0" w:space="0" w:color="auto"/>
      </w:divBdr>
    </w:div>
    <w:div w:id="1676882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C19AFC-0EE5-4354-9BC8-1C89D576CF46}">
  <ds:schemaRefs>
    <ds:schemaRef ds:uri="http://schemas.microsoft.com/sharepoint/v3/contenttype/forms"/>
  </ds:schemaRefs>
</ds:datastoreItem>
</file>

<file path=customXml/itemProps2.xml><?xml version="1.0" encoding="utf-8"?>
<ds:datastoreItem xmlns:ds="http://schemas.openxmlformats.org/officeDocument/2006/customXml" ds:itemID="{B1E3CAB4-2A5A-489C-9FA9-9700EBD9C55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01537F5-86A7-48EB-AE07-496BED3DD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9C7F9F6-D3A9-42CB-8A48-78338B509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347</Words>
  <Characters>1893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Bis zu 90 Prozent Stromkosten sparen</vt:lpstr>
    </vt:vector>
  </TitlesOfParts>
  <Company>KSB AG</Company>
  <LinksUpToDate>false</LinksUpToDate>
  <CharactersWithSpaces>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Bis zu 90 Prozent Stromkosten sparen</dc:title>
  <dc:creator>Christoph Pauly</dc:creator>
  <cp:lastModifiedBy>Pauly, Christoph</cp:lastModifiedBy>
  <cp:revision>6</cp:revision>
  <cp:lastPrinted>2013-03-04T12:46:00Z</cp:lastPrinted>
  <dcterms:created xsi:type="dcterms:W3CDTF">2022-03-31T15:02:00Z</dcterms:created>
  <dcterms:modified xsi:type="dcterms:W3CDTF">2022-06-30T06:34:00Z</dcterms:modified>
</cp:coreProperties>
</file>