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E3F365" w14:textId="77777777" w:rsidR="00752043" w:rsidRPr="00752043" w:rsidRDefault="00752043" w:rsidP="00752043">
      <w:pPr>
        <w:rPr>
          <w:b/>
          <w:sz w:val="24"/>
          <w:szCs w:val="24"/>
        </w:rPr>
      </w:pPr>
      <w:r>
        <w:rPr>
          <w:b/>
          <w:sz w:val="24"/>
        </w:rPr>
        <w:t xml:space="preserve">Partnership for developing molten salt recirculation pumps </w:t>
      </w:r>
    </w:p>
    <w:p w14:paraId="6AFD519D" w14:textId="77777777" w:rsidR="00752043" w:rsidRDefault="00752043" w:rsidP="007A0582">
      <w:pPr>
        <w:jc w:val="both"/>
        <w:rPr>
          <w:sz w:val="24"/>
          <w:szCs w:val="24"/>
        </w:rPr>
      </w:pPr>
    </w:p>
    <w:p w14:paraId="1330F1C5" w14:textId="11C8534C" w:rsidR="007A0582" w:rsidRPr="007A0582" w:rsidRDefault="007A0582" w:rsidP="007A0582">
      <w:pPr>
        <w:jc w:val="both"/>
        <w:rPr>
          <w:sz w:val="24"/>
          <w:szCs w:val="24"/>
        </w:rPr>
      </w:pPr>
      <w:r>
        <w:rPr>
          <w:sz w:val="24"/>
        </w:rPr>
        <w:t>Canadian KSB Pumps Inc., a subsidiary of the German pump manufacturer KSB</w:t>
      </w:r>
      <w:r w:rsidR="00A16171">
        <w:rPr>
          <w:sz w:val="24"/>
        </w:rPr>
        <w:t> </w:t>
      </w:r>
      <w:r>
        <w:rPr>
          <w:sz w:val="24"/>
        </w:rPr>
        <w:t>SE &amp; Co. </w:t>
      </w:r>
      <w:proofErr w:type="spellStart"/>
      <w:r>
        <w:rPr>
          <w:sz w:val="24"/>
        </w:rPr>
        <w:t>KGaA</w:t>
      </w:r>
      <w:proofErr w:type="spellEnd"/>
      <w:r>
        <w:rPr>
          <w:sz w:val="24"/>
        </w:rPr>
        <w:t xml:space="preserve">, </w:t>
      </w:r>
      <w:proofErr w:type="gramStart"/>
      <w:r>
        <w:rPr>
          <w:sz w:val="24"/>
        </w:rPr>
        <w:t>has been commissioned</w:t>
      </w:r>
      <w:proofErr w:type="gramEnd"/>
      <w:r>
        <w:rPr>
          <w:sz w:val="24"/>
        </w:rPr>
        <w:t xml:space="preserve"> with designing </w:t>
      </w:r>
      <w:r w:rsidR="00510F8E">
        <w:rPr>
          <w:sz w:val="24"/>
        </w:rPr>
        <w:t xml:space="preserve">the </w:t>
      </w:r>
      <w:r>
        <w:rPr>
          <w:sz w:val="24"/>
        </w:rPr>
        <w:t>primary pumps for a molten salt reactor. The customer is Terrestrial Energy Inc. from Oakville, Canada.</w:t>
      </w:r>
    </w:p>
    <w:p w14:paraId="57B7BE40" w14:textId="77777777" w:rsidR="007A0582" w:rsidRPr="007A0582" w:rsidRDefault="007A0582" w:rsidP="007A0582">
      <w:pPr>
        <w:jc w:val="both"/>
        <w:rPr>
          <w:sz w:val="24"/>
          <w:szCs w:val="24"/>
        </w:rPr>
      </w:pPr>
    </w:p>
    <w:p w14:paraId="3F0A731E" w14:textId="5DC20481" w:rsidR="007A0582" w:rsidRPr="007A0582" w:rsidRDefault="007C48BD" w:rsidP="007A0582">
      <w:pPr>
        <w:jc w:val="both"/>
        <w:rPr>
          <w:sz w:val="24"/>
          <w:szCs w:val="24"/>
        </w:rPr>
      </w:pPr>
      <w:r>
        <w:rPr>
          <w:sz w:val="24"/>
        </w:rPr>
        <w:t>Terrestrial Energy is</w:t>
      </w:r>
      <w:r w:rsidR="007A0582">
        <w:rPr>
          <w:sz w:val="24"/>
        </w:rPr>
        <w:t xml:space="preserve"> </w:t>
      </w:r>
      <w:r w:rsidR="00630B1E">
        <w:rPr>
          <w:sz w:val="24"/>
        </w:rPr>
        <w:t xml:space="preserve">developer of a </w:t>
      </w:r>
      <w:r>
        <w:rPr>
          <w:sz w:val="24"/>
        </w:rPr>
        <w:t>nuclear</w:t>
      </w:r>
      <w:r w:rsidR="00630B1E">
        <w:rPr>
          <w:sz w:val="24"/>
        </w:rPr>
        <w:t xml:space="preserve"> power plant for industrial </w:t>
      </w:r>
      <w:r w:rsidR="001722C0">
        <w:rPr>
          <w:sz w:val="24"/>
        </w:rPr>
        <w:t>c</w:t>
      </w:r>
      <w:r w:rsidR="00630B1E">
        <w:rPr>
          <w:sz w:val="24"/>
        </w:rPr>
        <w:t>o-</w:t>
      </w:r>
      <w:r w:rsidR="001722C0">
        <w:rPr>
          <w:sz w:val="24"/>
        </w:rPr>
        <w:t>g</w:t>
      </w:r>
      <w:r w:rsidR="00630B1E">
        <w:rPr>
          <w:sz w:val="24"/>
        </w:rPr>
        <w:t xml:space="preserve">eneration </w:t>
      </w:r>
      <w:r w:rsidR="00556E43">
        <w:rPr>
          <w:sz w:val="24"/>
        </w:rPr>
        <w:t xml:space="preserve">that </w:t>
      </w:r>
      <w:r w:rsidR="00630B1E">
        <w:rPr>
          <w:sz w:val="24"/>
        </w:rPr>
        <w:t>us</w:t>
      </w:r>
      <w:r w:rsidR="00556E43">
        <w:rPr>
          <w:sz w:val="24"/>
        </w:rPr>
        <w:t>e</w:t>
      </w:r>
      <w:r w:rsidR="00630B1E">
        <w:rPr>
          <w:sz w:val="24"/>
        </w:rPr>
        <w:t xml:space="preserve"> </w:t>
      </w:r>
      <w:r>
        <w:rPr>
          <w:sz w:val="24"/>
        </w:rPr>
        <w:t>its proprietary Integral Molten Salt Reactor (IMSR</w:t>
      </w:r>
      <w:r w:rsidR="002335A4" w:rsidRPr="002335A4">
        <w:rPr>
          <w:sz w:val="24"/>
          <w:vertAlign w:val="superscript"/>
        </w:rPr>
        <w:t>®</w:t>
      </w:r>
      <w:r>
        <w:rPr>
          <w:sz w:val="24"/>
        </w:rPr>
        <w:t>) technology</w:t>
      </w:r>
      <w:r w:rsidR="00630B1E">
        <w:rPr>
          <w:sz w:val="24"/>
        </w:rPr>
        <w:t>, a Generation IV fission technology</w:t>
      </w:r>
      <w:r>
        <w:rPr>
          <w:sz w:val="24"/>
        </w:rPr>
        <w:t xml:space="preserve">. </w:t>
      </w:r>
      <w:r w:rsidR="007A0582">
        <w:rPr>
          <w:sz w:val="24"/>
        </w:rPr>
        <w:t xml:space="preserve">The </w:t>
      </w:r>
      <w:r w:rsidR="00630B1E">
        <w:rPr>
          <w:sz w:val="24"/>
        </w:rPr>
        <w:t xml:space="preserve">IMSR </w:t>
      </w:r>
      <w:r w:rsidR="007A0582">
        <w:rPr>
          <w:sz w:val="24"/>
        </w:rPr>
        <w:t xml:space="preserve">is to be equipped with KSB pumps for transporting the molten </w:t>
      </w:r>
      <w:r w:rsidR="000B1411">
        <w:rPr>
          <w:sz w:val="24"/>
        </w:rPr>
        <w:t xml:space="preserve">fuel </w:t>
      </w:r>
      <w:r w:rsidR="007A0582">
        <w:rPr>
          <w:sz w:val="24"/>
        </w:rPr>
        <w:t xml:space="preserve">salt from the graphite core to the primary heat exchangers. The pumps are a key component </w:t>
      </w:r>
      <w:r>
        <w:rPr>
          <w:sz w:val="24"/>
        </w:rPr>
        <w:t xml:space="preserve">of IMSR. </w:t>
      </w:r>
    </w:p>
    <w:p w14:paraId="0EEF25E3" w14:textId="77777777" w:rsidR="007A0582" w:rsidRPr="00C2024B" w:rsidRDefault="007A0582" w:rsidP="007A0582">
      <w:pPr>
        <w:jc w:val="both"/>
        <w:rPr>
          <w:sz w:val="24"/>
          <w:szCs w:val="24"/>
        </w:rPr>
      </w:pPr>
    </w:p>
    <w:p w14:paraId="078D1CBB" w14:textId="147266D1" w:rsidR="007A0582" w:rsidRPr="007A0582" w:rsidRDefault="007A0582" w:rsidP="007A0582">
      <w:pPr>
        <w:jc w:val="both"/>
        <w:rPr>
          <w:sz w:val="24"/>
          <w:szCs w:val="24"/>
        </w:rPr>
      </w:pPr>
      <w:r>
        <w:rPr>
          <w:sz w:val="24"/>
        </w:rPr>
        <w:t xml:space="preserve">KSB is a pump manufacturer based in </w:t>
      </w:r>
      <w:proofErr w:type="spellStart"/>
      <w:r>
        <w:rPr>
          <w:sz w:val="24"/>
        </w:rPr>
        <w:t>Frankenthal</w:t>
      </w:r>
      <w:proofErr w:type="spellEnd"/>
      <w:r w:rsidR="00510F8E">
        <w:rPr>
          <w:sz w:val="24"/>
        </w:rPr>
        <w:t>, Germany</w:t>
      </w:r>
      <w:r>
        <w:rPr>
          <w:sz w:val="24"/>
        </w:rPr>
        <w:t xml:space="preserve"> and has been a globally leading company in nuclear pump technology for more than 60 years. In addition, KSB is drawing on vast experience in designing and manufacturing recirculation pumps for liquid metal cooled primary circuits.</w:t>
      </w:r>
    </w:p>
    <w:p w14:paraId="4B93EC4D" w14:textId="4ACC8021" w:rsidR="007A0582" w:rsidRDefault="007A0582" w:rsidP="007A0582">
      <w:pPr>
        <w:jc w:val="both"/>
        <w:rPr>
          <w:sz w:val="24"/>
          <w:szCs w:val="24"/>
        </w:rPr>
      </w:pPr>
    </w:p>
    <w:p w14:paraId="03DD8594" w14:textId="132F227B" w:rsidR="00EC4263" w:rsidRPr="00AF258B" w:rsidRDefault="000B1411" w:rsidP="00EC4263">
      <w:pPr>
        <w:jc w:val="both"/>
        <w:rPr>
          <w:sz w:val="24"/>
          <w:szCs w:val="24"/>
          <w:lang w:val="en-US"/>
        </w:rPr>
      </w:pPr>
      <w:r>
        <w:rPr>
          <w:sz w:val="24"/>
        </w:rPr>
        <w:t xml:space="preserve">IMSR technology </w:t>
      </w:r>
      <w:r w:rsidR="00AF258B">
        <w:rPr>
          <w:sz w:val="24"/>
        </w:rPr>
        <w:t xml:space="preserve">delivers </w:t>
      </w:r>
      <w:r>
        <w:rPr>
          <w:sz w:val="24"/>
        </w:rPr>
        <w:t>high</w:t>
      </w:r>
      <w:r w:rsidR="00AF258B">
        <w:rPr>
          <w:sz w:val="24"/>
        </w:rPr>
        <w:t>-</w:t>
      </w:r>
      <w:r>
        <w:rPr>
          <w:sz w:val="24"/>
        </w:rPr>
        <w:t xml:space="preserve">temperature </w:t>
      </w:r>
      <w:r w:rsidR="00AF258B">
        <w:rPr>
          <w:sz w:val="24"/>
        </w:rPr>
        <w:t>thermal energy and a 50% efficiency improve</w:t>
      </w:r>
      <w:r w:rsidR="00EC4263">
        <w:rPr>
          <w:sz w:val="24"/>
        </w:rPr>
        <w:t xml:space="preserve">ment in </w:t>
      </w:r>
      <w:r w:rsidR="00AF258B">
        <w:rPr>
          <w:sz w:val="24"/>
        </w:rPr>
        <w:t>electric</w:t>
      </w:r>
      <w:r w:rsidR="001722C0">
        <w:rPr>
          <w:sz w:val="24"/>
        </w:rPr>
        <w:t>ity g</w:t>
      </w:r>
      <w:r w:rsidR="00AF258B">
        <w:rPr>
          <w:sz w:val="24"/>
        </w:rPr>
        <w:t>eneration</w:t>
      </w:r>
      <w:r w:rsidR="00EC4263">
        <w:rPr>
          <w:sz w:val="24"/>
        </w:rPr>
        <w:t xml:space="preserve"> making it an </w:t>
      </w:r>
      <w:r w:rsidR="00AF258B">
        <w:rPr>
          <w:sz w:val="24"/>
        </w:rPr>
        <w:t xml:space="preserve">ideal technology for </w:t>
      </w:r>
      <w:r w:rsidR="00EC4263">
        <w:rPr>
          <w:sz w:val="24"/>
        </w:rPr>
        <w:t>industrial co</w:t>
      </w:r>
      <w:r w:rsidR="001722C0">
        <w:rPr>
          <w:sz w:val="24"/>
        </w:rPr>
        <w:t>-</w:t>
      </w:r>
      <w:r w:rsidR="00EC4263">
        <w:rPr>
          <w:sz w:val="24"/>
        </w:rPr>
        <w:t>generation. The IMSR</w:t>
      </w:r>
      <w:r w:rsidR="00EC4263" w:rsidRPr="002335A4">
        <w:rPr>
          <w:sz w:val="24"/>
          <w:vertAlign w:val="superscript"/>
        </w:rPr>
        <w:t>®</w:t>
      </w:r>
      <w:r w:rsidR="00EC4263">
        <w:rPr>
          <w:sz w:val="24"/>
        </w:rPr>
        <w:t xml:space="preserve"> Plant </w:t>
      </w:r>
      <w:proofErr w:type="gramStart"/>
      <w:r w:rsidR="00EC4263">
        <w:rPr>
          <w:sz w:val="24"/>
        </w:rPr>
        <w:t>is designed</w:t>
      </w:r>
      <w:proofErr w:type="gramEnd"/>
      <w:r w:rsidR="00EC4263">
        <w:rPr>
          <w:sz w:val="24"/>
        </w:rPr>
        <w:t xml:space="preserve"> for modular construction and shorter construction schedules. Its </w:t>
      </w:r>
      <w:r w:rsidR="00EC4263" w:rsidRPr="00AF258B">
        <w:rPr>
          <w:sz w:val="24"/>
          <w:szCs w:val="24"/>
          <w:lang w:val="en-US"/>
        </w:rPr>
        <w:t xml:space="preserve">adaptability </w:t>
      </w:r>
      <w:r w:rsidR="00EC4263">
        <w:rPr>
          <w:sz w:val="24"/>
          <w:szCs w:val="24"/>
          <w:lang w:val="en-US"/>
        </w:rPr>
        <w:t>to industr</w:t>
      </w:r>
      <w:r w:rsidR="001722C0">
        <w:rPr>
          <w:sz w:val="24"/>
          <w:szCs w:val="24"/>
          <w:lang w:val="en-US"/>
        </w:rPr>
        <w:t>ial needs</w:t>
      </w:r>
      <w:r w:rsidR="00EC4263">
        <w:rPr>
          <w:sz w:val="24"/>
          <w:szCs w:val="24"/>
          <w:lang w:val="en-US"/>
        </w:rPr>
        <w:t xml:space="preserve"> </w:t>
      </w:r>
      <w:r w:rsidR="00EC4263" w:rsidRPr="00AF258B">
        <w:rPr>
          <w:sz w:val="24"/>
          <w:szCs w:val="24"/>
          <w:lang w:val="en-US"/>
        </w:rPr>
        <w:t>and cost-competitive energy with zero emissions makes it a powerful tool for corporations and governments to achieve “net zero” targets.</w:t>
      </w:r>
    </w:p>
    <w:p w14:paraId="36C5B1C6" w14:textId="2C25CDA7" w:rsidR="00AF258B" w:rsidRDefault="00AF258B" w:rsidP="007A0582">
      <w:pPr>
        <w:jc w:val="both"/>
        <w:rPr>
          <w:sz w:val="24"/>
        </w:rPr>
      </w:pPr>
    </w:p>
    <w:p w14:paraId="0CDE7E9C" w14:textId="4DA40CE9" w:rsidR="007A0582" w:rsidRDefault="007A0582" w:rsidP="00D86A8A">
      <w:pPr>
        <w:jc w:val="both"/>
        <w:rPr>
          <w:sz w:val="24"/>
        </w:rPr>
      </w:pPr>
      <w:r>
        <w:rPr>
          <w:sz w:val="24"/>
        </w:rPr>
        <w:t xml:space="preserve">The new development is </w:t>
      </w:r>
      <w:r w:rsidR="0090100B">
        <w:rPr>
          <w:sz w:val="24"/>
        </w:rPr>
        <w:t xml:space="preserve">capable of being </w:t>
      </w:r>
      <w:r w:rsidR="004F3D61">
        <w:rPr>
          <w:sz w:val="24"/>
        </w:rPr>
        <w:t>an</w:t>
      </w:r>
      <w:r w:rsidR="0090100B">
        <w:rPr>
          <w:sz w:val="24"/>
        </w:rPr>
        <w:t xml:space="preserve"> enabling technology for </w:t>
      </w:r>
      <w:r w:rsidR="004F3D61">
        <w:rPr>
          <w:sz w:val="24"/>
        </w:rPr>
        <w:t>zero-</w:t>
      </w:r>
      <w:r w:rsidR="0090100B">
        <w:rPr>
          <w:sz w:val="24"/>
        </w:rPr>
        <w:t>CO</w:t>
      </w:r>
      <w:r w:rsidR="0090100B" w:rsidRPr="007A0582">
        <w:rPr>
          <w:rFonts w:ascii="Cambria Math" w:hAnsi="Cambria Math"/>
          <w:sz w:val="24"/>
          <w:szCs w:val="24"/>
        </w:rPr>
        <w:t>₂</w:t>
      </w:r>
      <w:r w:rsidR="004F3D61">
        <w:rPr>
          <w:rFonts w:ascii="Cambria Math" w:hAnsi="Cambria Math"/>
          <w:sz w:val="24"/>
          <w:szCs w:val="24"/>
        </w:rPr>
        <w:t xml:space="preserve"> </w:t>
      </w:r>
      <w:r w:rsidR="0090100B">
        <w:rPr>
          <w:sz w:val="24"/>
        </w:rPr>
        <w:t>hydrogen and ammonia production as well as many other industrial process</w:t>
      </w:r>
      <w:r w:rsidR="001722C0">
        <w:rPr>
          <w:sz w:val="24"/>
        </w:rPr>
        <w:t>es</w:t>
      </w:r>
      <w:r w:rsidR="0090100B">
        <w:rPr>
          <w:sz w:val="24"/>
        </w:rPr>
        <w:t xml:space="preserve"> that require </w:t>
      </w:r>
      <w:r>
        <w:rPr>
          <w:sz w:val="24"/>
        </w:rPr>
        <w:t>reliabl</w:t>
      </w:r>
      <w:r w:rsidR="0090100B">
        <w:rPr>
          <w:sz w:val="24"/>
        </w:rPr>
        <w:t>e, cost-</w:t>
      </w:r>
      <w:r>
        <w:rPr>
          <w:sz w:val="24"/>
        </w:rPr>
        <w:t xml:space="preserve">competitive </w:t>
      </w:r>
      <w:r w:rsidR="0090100B">
        <w:rPr>
          <w:sz w:val="24"/>
        </w:rPr>
        <w:t>zero-emission</w:t>
      </w:r>
      <w:r w:rsidR="001722C0">
        <w:rPr>
          <w:sz w:val="24"/>
        </w:rPr>
        <w:t>s</w:t>
      </w:r>
      <w:r w:rsidR="0090100B">
        <w:rPr>
          <w:sz w:val="24"/>
        </w:rPr>
        <w:t xml:space="preserve"> heat and power</w:t>
      </w:r>
      <w:r>
        <w:rPr>
          <w:sz w:val="24"/>
        </w:rPr>
        <w:t>.</w:t>
      </w:r>
      <w:r w:rsidR="004F3D61">
        <w:rPr>
          <w:sz w:val="24"/>
        </w:rPr>
        <w:t xml:space="preserve"> The</w:t>
      </w:r>
      <w:r w:rsidR="001722C0">
        <w:rPr>
          <w:sz w:val="24"/>
        </w:rPr>
        <w:t>s</w:t>
      </w:r>
      <w:r w:rsidR="004F3D61">
        <w:rPr>
          <w:sz w:val="24"/>
        </w:rPr>
        <w:t>e are applications</w:t>
      </w:r>
      <w:r w:rsidR="00D86A8A">
        <w:rPr>
          <w:sz w:val="24"/>
        </w:rPr>
        <w:t xml:space="preserve"> </w:t>
      </w:r>
      <w:r>
        <w:rPr>
          <w:sz w:val="24"/>
        </w:rPr>
        <w:t>to go far beyond simple power generation</w:t>
      </w:r>
      <w:r w:rsidR="00B45148">
        <w:rPr>
          <w:sz w:val="24"/>
        </w:rPr>
        <w:t xml:space="preserve"> and extend to g</w:t>
      </w:r>
      <w:r w:rsidR="00510F8E">
        <w:rPr>
          <w:sz w:val="24"/>
        </w:rPr>
        <w:t>lobal markets including Canada, United Kingdom and United States</w:t>
      </w:r>
      <w:r w:rsidR="007C48BD" w:rsidRPr="007C48BD">
        <w:rPr>
          <w:sz w:val="24"/>
        </w:rPr>
        <w:t>.</w:t>
      </w:r>
      <w:r w:rsidR="007C48BD">
        <w:rPr>
          <w:sz w:val="24"/>
        </w:rPr>
        <w:t xml:space="preserve"> </w:t>
      </w:r>
      <w:r>
        <w:rPr>
          <w:sz w:val="24"/>
        </w:rPr>
        <w:t xml:space="preserve">On 14 September 2021, Terrestrial Energy Inc. announced that the planned plant </w:t>
      </w:r>
      <w:r w:rsidR="00462BF5">
        <w:rPr>
          <w:sz w:val="24"/>
        </w:rPr>
        <w:t xml:space="preserve">will </w:t>
      </w:r>
      <w:r>
        <w:rPr>
          <w:sz w:val="24"/>
        </w:rPr>
        <w:t xml:space="preserve">comprise two </w:t>
      </w:r>
      <w:r w:rsidR="00462BF5">
        <w:rPr>
          <w:sz w:val="24"/>
        </w:rPr>
        <w:t>IMSR</w:t>
      </w:r>
      <w:r>
        <w:rPr>
          <w:sz w:val="24"/>
        </w:rPr>
        <w:t xml:space="preserve">s </w:t>
      </w:r>
      <w:r w:rsidR="00462BF5">
        <w:rPr>
          <w:sz w:val="24"/>
        </w:rPr>
        <w:t xml:space="preserve">and will have </w:t>
      </w:r>
      <w:r>
        <w:rPr>
          <w:sz w:val="24"/>
        </w:rPr>
        <w:t xml:space="preserve">generating </w:t>
      </w:r>
      <w:r w:rsidR="00462BF5">
        <w:rPr>
          <w:sz w:val="24"/>
        </w:rPr>
        <w:t xml:space="preserve">capacity </w:t>
      </w:r>
      <w:r w:rsidR="002335A4">
        <w:rPr>
          <w:sz w:val="24"/>
        </w:rPr>
        <w:t>of 884</w:t>
      </w:r>
      <w:r w:rsidR="00B45148">
        <w:rPr>
          <w:sz w:val="24"/>
        </w:rPr>
        <w:t xml:space="preserve"> MW</w:t>
      </w:r>
      <w:r w:rsidR="002335A4">
        <w:rPr>
          <w:sz w:val="24"/>
        </w:rPr>
        <w:t>th</w:t>
      </w:r>
      <w:r w:rsidR="00B45148">
        <w:rPr>
          <w:sz w:val="24"/>
        </w:rPr>
        <w:t xml:space="preserve"> / </w:t>
      </w:r>
      <w:r>
        <w:rPr>
          <w:sz w:val="24"/>
        </w:rPr>
        <w:t>390 MW</w:t>
      </w:r>
      <w:r w:rsidR="00B45148">
        <w:rPr>
          <w:sz w:val="24"/>
        </w:rPr>
        <w:t>e</w:t>
      </w:r>
      <w:r w:rsidR="00462BF5">
        <w:rPr>
          <w:sz w:val="24"/>
        </w:rPr>
        <w:t xml:space="preserve"> (net).</w:t>
      </w:r>
    </w:p>
    <w:p w14:paraId="6F5AFC13" w14:textId="77777777" w:rsidR="00B45148" w:rsidRPr="007A0582" w:rsidRDefault="00B45148" w:rsidP="002335A4">
      <w:pPr>
        <w:jc w:val="both"/>
        <w:rPr>
          <w:sz w:val="24"/>
          <w:szCs w:val="24"/>
        </w:rPr>
      </w:pPr>
    </w:p>
    <w:p w14:paraId="30054AB0" w14:textId="4409C76D" w:rsidR="00D54C2B" w:rsidRPr="00C2024B" w:rsidRDefault="00D54C2B" w:rsidP="00D54C2B">
      <w:bookmarkStart w:id="0" w:name="_GoBack"/>
      <w:bookmarkEnd w:id="0"/>
      <w:r>
        <w:t>Illustration: The planned Canadian power station with two molten salt reactors</w:t>
      </w:r>
    </w:p>
    <w:p w14:paraId="560F0CA4" w14:textId="77777777" w:rsidR="00D54C2B" w:rsidRPr="00D54C2B" w:rsidRDefault="00D54C2B" w:rsidP="00D54C2B">
      <w:r>
        <w:t>(© Terrestrial Energy Inc.)</w:t>
      </w:r>
    </w:p>
    <w:sectPr w:rsidR="00D54C2B" w:rsidRPr="00D54C2B" w:rsidSect="00D524A8">
      <w:headerReference w:type="even" r:id="rId9"/>
      <w:headerReference w:type="default" r:id="rId10"/>
      <w:footerReference w:type="default" r:id="rId11"/>
      <w:headerReference w:type="first" r:id="rId12"/>
      <w:pgSz w:w="11906" w:h="16838" w:code="9"/>
      <w:pgMar w:top="1702" w:right="1700" w:bottom="1701" w:left="2127"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A3B1E9" w14:textId="77777777" w:rsidR="00D64542" w:rsidRDefault="00D64542">
      <w:r>
        <w:separator/>
      </w:r>
    </w:p>
  </w:endnote>
  <w:endnote w:type="continuationSeparator" w:id="0">
    <w:p w14:paraId="3799A12B" w14:textId="77777777" w:rsidR="00D64542" w:rsidRDefault="00D645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14:paraId="73366F2D" w14:textId="77777777">
      <w:trPr>
        <w:trHeight w:hRule="exact" w:val="1320"/>
      </w:trPr>
      <w:tc>
        <w:tcPr>
          <w:tcW w:w="9979" w:type="dxa"/>
        </w:tcPr>
        <w:p w14:paraId="0F5962F8" w14:textId="77777777" w:rsidR="00A4139C" w:rsidRDefault="00170D6E">
          <w:pPr>
            <w:pStyle w:val="Fuzeile"/>
          </w:pPr>
          <w:bookmarkStart w:id="2" w:name="Fusszeile"/>
          <w:r>
            <w:rPr>
              <w:noProof/>
              <w:lang w:val="de-DE"/>
            </w:rPr>
            <w:drawing>
              <wp:inline distT="0" distB="0" distL="0" distR="0" wp14:anchorId="7F714B90" wp14:editId="386CD218">
                <wp:extent cx="6322695" cy="855980"/>
                <wp:effectExtent l="0" t="0" r="1905" b="1270"/>
                <wp:docPr id="90"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14:paraId="0A53FC33" w14:textId="77777777"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E0165D" w14:textId="77777777" w:rsidR="00D64542" w:rsidRDefault="00D64542">
      <w:r>
        <w:separator/>
      </w:r>
    </w:p>
  </w:footnote>
  <w:footnote w:type="continuationSeparator" w:id="0">
    <w:p w14:paraId="4C04E0E2" w14:textId="77777777" w:rsidR="00D64542" w:rsidRDefault="00D645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DE4EC2" w14:textId="77777777"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Pr>
        <w:rStyle w:val="Seitenzahl"/>
      </w:rPr>
      <w:t>1</w:t>
    </w:r>
    <w:r>
      <w:rPr>
        <w:rStyle w:val="Seitenzahl"/>
      </w:rPr>
      <w:fldChar w:fldCharType="end"/>
    </w:r>
  </w:p>
  <w:p w14:paraId="30802DDD" w14:textId="77777777"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D67F53" w14:textId="1E92C78C"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14:paraId="6CDF47D3" w14:textId="77777777" w:rsidR="00A4139C" w:rsidRDefault="00170D6E">
    <w:pPr>
      <w:pStyle w:val="Kopfzeile"/>
      <w:jc w:val="right"/>
    </w:pPr>
    <w:r>
      <w:rPr>
        <w:noProof/>
        <w:lang w:val="de-DE"/>
      </w:rPr>
      <w:drawing>
        <wp:inline distT="0" distB="0" distL="0" distR="0" wp14:anchorId="013EE8D0" wp14:editId="65761E32">
          <wp:extent cx="1190625" cy="513715"/>
          <wp:effectExtent l="0" t="0" r="9525" b="635"/>
          <wp:docPr id="89"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14:paraId="4CD35E17" w14:textId="77777777" w:rsidR="00A4139C" w:rsidRDefault="00A4139C">
    <w:pPr>
      <w:pStyle w:val="Kopfzeile"/>
      <w:jc w:val="right"/>
    </w:pPr>
  </w:p>
  <w:p w14:paraId="63CD7CAF" w14:textId="77777777" w:rsidR="00A4139C" w:rsidRDefault="00A4139C">
    <w:pPr>
      <w:pStyle w:val="Kopfzeile"/>
      <w:jc w:val="right"/>
    </w:pPr>
  </w:p>
  <w:p w14:paraId="5D3527BB" w14:textId="77777777"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A04A7C" w14:textId="77777777" w:rsidR="00A4139C" w:rsidRDefault="00A4139C">
    <w:pPr>
      <w:pStyle w:val="Kopfzeile"/>
      <w:jc w:val="right"/>
    </w:pPr>
  </w:p>
  <w:p w14:paraId="7B564558" w14:textId="77777777"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C93"/>
    <w:rsid w:val="00010238"/>
    <w:rsid w:val="0006529A"/>
    <w:rsid w:val="000B1411"/>
    <w:rsid w:val="000C1FCB"/>
    <w:rsid w:val="00170D6E"/>
    <w:rsid w:val="001722C0"/>
    <w:rsid w:val="001D4A98"/>
    <w:rsid w:val="002335A4"/>
    <w:rsid w:val="00251C8F"/>
    <w:rsid w:val="002B59CC"/>
    <w:rsid w:val="0041002D"/>
    <w:rsid w:val="004110C8"/>
    <w:rsid w:val="004255BD"/>
    <w:rsid w:val="00445A27"/>
    <w:rsid w:val="00462BF5"/>
    <w:rsid w:val="004A6F3C"/>
    <w:rsid w:val="004F3D61"/>
    <w:rsid w:val="00510F8E"/>
    <w:rsid w:val="00514B86"/>
    <w:rsid w:val="00556E43"/>
    <w:rsid w:val="00563D15"/>
    <w:rsid w:val="00572614"/>
    <w:rsid w:val="00630B1E"/>
    <w:rsid w:val="006D32B7"/>
    <w:rsid w:val="007320DE"/>
    <w:rsid w:val="00745F49"/>
    <w:rsid w:val="00752043"/>
    <w:rsid w:val="007A0582"/>
    <w:rsid w:val="007C48BD"/>
    <w:rsid w:val="007E1409"/>
    <w:rsid w:val="008647E5"/>
    <w:rsid w:val="0086737F"/>
    <w:rsid w:val="008852E4"/>
    <w:rsid w:val="008C0BB3"/>
    <w:rsid w:val="0090100B"/>
    <w:rsid w:val="00956DB2"/>
    <w:rsid w:val="009B036D"/>
    <w:rsid w:val="009C3CE8"/>
    <w:rsid w:val="009C6757"/>
    <w:rsid w:val="009D603C"/>
    <w:rsid w:val="009F2F91"/>
    <w:rsid w:val="00A16171"/>
    <w:rsid w:val="00A36C99"/>
    <w:rsid w:val="00A4139C"/>
    <w:rsid w:val="00A9390A"/>
    <w:rsid w:val="00AA2A0C"/>
    <w:rsid w:val="00AD37A0"/>
    <w:rsid w:val="00AF258B"/>
    <w:rsid w:val="00B45148"/>
    <w:rsid w:val="00B45871"/>
    <w:rsid w:val="00B66DC7"/>
    <w:rsid w:val="00B82260"/>
    <w:rsid w:val="00BD7BE0"/>
    <w:rsid w:val="00BF70E7"/>
    <w:rsid w:val="00C10067"/>
    <w:rsid w:val="00C2024B"/>
    <w:rsid w:val="00C749E4"/>
    <w:rsid w:val="00CC37F8"/>
    <w:rsid w:val="00CC79B9"/>
    <w:rsid w:val="00D031DF"/>
    <w:rsid w:val="00D3294E"/>
    <w:rsid w:val="00D524A8"/>
    <w:rsid w:val="00D54C2B"/>
    <w:rsid w:val="00D62F35"/>
    <w:rsid w:val="00D64542"/>
    <w:rsid w:val="00D86A8A"/>
    <w:rsid w:val="00DA315B"/>
    <w:rsid w:val="00DB2784"/>
    <w:rsid w:val="00E05083"/>
    <w:rsid w:val="00E24DEE"/>
    <w:rsid w:val="00E25CB3"/>
    <w:rsid w:val="00E35697"/>
    <w:rsid w:val="00EC4263"/>
    <w:rsid w:val="00EF7AFA"/>
    <w:rsid w:val="00F222E6"/>
    <w:rsid w:val="00FB5C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29C0A2E1"/>
  <w15:chartTrackingRefBased/>
  <w15:docId w15:val="{4ECC4318-6F1E-4798-9692-4BE6F66B1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A0582"/>
    <w:rPr>
      <w:rFonts w:ascii="Arial" w:hAnsi="Arial" w:cs="Arial"/>
      <w:sz w:val="22"/>
      <w:szCs w:val="22"/>
    </w:rPr>
  </w:style>
  <w:style w:type="paragraph" w:styleId="berschrift1">
    <w:name w:val="heading 1"/>
    <w:basedOn w:val="Standard"/>
    <w:next w:val="Standard"/>
    <w:qFormat/>
    <w:rsid w:val="0086737F"/>
    <w:pPr>
      <w:keepNext/>
      <w:spacing w:line="240" w:lineRule="exact"/>
      <w:outlineLvl w:val="0"/>
    </w:pPr>
    <w:rPr>
      <w:b/>
      <w:bCs/>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rPr>
      <w:lang w:eastAsia="de-DE"/>
    </w:rPr>
  </w:style>
  <w:style w:type="paragraph" w:styleId="Fuzeile">
    <w:name w:val="footer"/>
    <w:basedOn w:val="Standard"/>
    <w:rsid w:val="0086737F"/>
    <w:pPr>
      <w:tabs>
        <w:tab w:val="center" w:pos="4536"/>
        <w:tab w:val="right" w:pos="9072"/>
      </w:tabs>
    </w:pPr>
    <w:rPr>
      <w:lang w:eastAsia="de-DE"/>
    </w:rPr>
  </w:style>
  <w:style w:type="paragraph" w:styleId="Textkrper">
    <w:name w:val="Body Text"/>
    <w:basedOn w:val="Standard"/>
    <w:rsid w:val="0086737F"/>
    <w:pPr>
      <w:spacing w:line="220" w:lineRule="exact"/>
    </w:pPr>
    <w:rPr>
      <w:sz w:val="16"/>
      <w:szCs w:val="16"/>
      <w:lang w:eastAsia="de-DE"/>
    </w:rPr>
  </w:style>
  <w:style w:type="character" w:styleId="Seitenzahl">
    <w:name w:val="page number"/>
    <w:basedOn w:val="Absatz-Standardschriftart"/>
    <w:rsid w:val="0086737F"/>
  </w:style>
  <w:style w:type="paragraph" w:styleId="Sprechblasentext">
    <w:name w:val="Balloon Text"/>
    <w:basedOn w:val="Standard"/>
    <w:link w:val="SprechblasentextZchn"/>
    <w:semiHidden/>
    <w:unhideWhenUsed/>
    <w:rsid w:val="00251C8F"/>
    <w:rPr>
      <w:rFonts w:ascii="Segoe UI" w:hAnsi="Segoe UI" w:cs="Segoe UI"/>
      <w:sz w:val="18"/>
      <w:szCs w:val="18"/>
    </w:rPr>
  </w:style>
  <w:style w:type="character" w:customStyle="1" w:styleId="SprechblasentextZchn">
    <w:name w:val="Sprechblasentext Zchn"/>
    <w:basedOn w:val="Absatz-Standardschriftart"/>
    <w:link w:val="Sprechblasentext"/>
    <w:semiHidden/>
    <w:rsid w:val="00251C8F"/>
    <w:rPr>
      <w:rFonts w:ascii="Segoe UI" w:hAnsi="Segoe UI" w:cs="Segoe UI"/>
      <w:sz w:val="18"/>
      <w:szCs w:val="18"/>
    </w:rPr>
  </w:style>
  <w:style w:type="character" w:styleId="Kommentarzeichen">
    <w:name w:val="annotation reference"/>
    <w:basedOn w:val="Absatz-Standardschriftart"/>
    <w:semiHidden/>
    <w:unhideWhenUsed/>
    <w:rsid w:val="00251C8F"/>
    <w:rPr>
      <w:sz w:val="16"/>
      <w:szCs w:val="16"/>
    </w:rPr>
  </w:style>
  <w:style w:type="paragraph" w:styleId="Kommentartext">
    <w:name w:val="annotation text"/>
    <w:basedOn w:val="Standard"/>
    <w:link w:val="KommentartextZchn"/>
    <w:semiHidden/>
    <w:unhideWhenUsed/>
    <w:rsid w:val="00251C8F"/>
    <w:rPr>
      <w:sz w:val="20"/>
      <w:szCs w:val="20"/>
    </w:rPr>
  </w:style>
  <w:style w:type="character" w:customStyle="1" w:styleId="KommentartextZchn">
    <w:name w:val="Kommentartext Zchn"/>
    <w:basedOn w:val="Absatz-Standardschriftart"/>
    <w:link w:val="Kommentartext"/>
    <w:semiHidden/>
    <w:rsid w:val="00251C8F"/>
    <w:rPr>
      <w:rFonts w:ascii="Arial" w:hAnsi="Arial" w:cs="Arial"/>
    </w:rPr>
  </w:style>
  <w:style w:type="paragraph" w:styleId="Kommentarthema">
    <w:name w:val="annotation subject"/>
    <w:basedOn w:val="Kommentartext"/>
    <w:next w:val="Kommentartext"/>
    <w:link w:val="KommentarthemaZchn"/>
    <w:semiHidden/>
    <w:unhideWhenUsed/>
    <w:rsid w:val="00251C8F"/>
    <w:rPr>
      <w:b/>
      <w:bCs/>
    </w:rPr>
  </w:style>
  <w:style w:type="character" w:customStyle="1" w:styleId="KommentarthemaZchn">
    <w:name w:val="Kommentarthema Zchn"/>
    <w:basedOn w:val="KommentartextZchn"/>
    <w:link w:val="Kommentarthema"/>
    <w:semiHidden/>
    <w:rsid w:val="00251C8F"/>
    <w:rPr>
      <w:rFonts w:ascii="Arial" w:hAnsi="Arial" w:cs="Arial"/>
      <w:b/>
      <w:bCs/>
    </w:rPr>
  </w:style>
  <w:style w:type="paragraph" w:styleId="berarbeitung">
    <w:name w:val="Revision"/>
    <w:hidden/>
    <w:uiPriority w:val="99"/>
    <w:semiHidden/>
    <w:rsid w:val="007C48BD"/>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966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9F1C2EC-ED92-47FC-9A4B-CB0F8AEB3ADD}">
  <ds:schemaRefs>
    <ds:schemaRef ds:uri="http://schemas.microsoft.com/sharepoint/v3/contenttype/forms"/>
  </ds:schemaRefs>
</ds:datastoreItem>
</file>

<file path=customXml/itemProps2.xml><?xml version="1.0" encoding="utf-8"?>
<ds:datastoreItem xmlns:ds="http://schemas.openxmlformats.org/officeDocument/2006/customXml" ds:itemID="{A08290F8-9EB1-4B4B-9ED3-49E9DA44BE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13F10B9-E727-4FA5-A0F1-087669011E5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304</Words>
  <Characters>1734</Characters>
  <Application>Microsoft Office Word</Application>
  <DocSecurity>0</DocSecurity>
  <Lines>14</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KSB Aktiengesellschaft • Johann-Klein-Straße 9 • 67227 Frankenthal</vt:lpstr>
      <vt:lpstr>KSB Aktiengesellschaft • Johann-Klein-Straße 9 • 67227 Frankenthal</vt:lpstr>
    </vt:vector>
  </TitlesOfParts>
  <Company>KSB Group</Company>
  <LinksUpToDate>false</LinksUpToDate>
  <CharactersWithSpaces>2034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Pauly, Christoph</cp:lastModifiedBy>
  <cp:revision>5</cp:revision>
  <cp:lastPrinted>2006-04-21T08:51:00Z</cp:lastPrinted>
  <dcterms:created xsi:type="dcterms:W3CDTF">2022-03-30T21:36:00Z</dcterms:created>
  <dcterms:modified xsi:type="dcterms:W3CDTF">2022-03-31T14:31:00Z</dcterms:modified>
</cp:coreProperties>
</file>